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57D97" w14:textId="77777777" w:rsidR="00245A5D" w:rsidRPr="00245A5D" w:rsidRDefault="000A0E23" w:rsidP="00245A5D">
      <w:pPr>
        <w:jc w:val="center"/>
        <w:rPr>
          <w:rFonts w:cs="Calibri"/>
          <w:b/>
          <w:sz w:val="14"/>
          <w:szCs w:val="20"/>
          <w:u w:val="single"/>
        </w:rPr>
      </w:pPr>
      <w:r w:rsidRPr="0035178C">
        <w:rPr>
          <w:noProof/>
          <w:lang w:eastAsia="en-GB"/>
        </w:rPr>
        <w:drawing>
          <wp:anchor distT="0" distB="0" distL="114300" distR="114300" simplePos="0" relativeHeight="251659264" behindDoc="0" locked="0" layoutInCell="1" allowOverlap="1" wp14:anchorId="0AA5121B" wp14:editId="71037DBB">
            <wp:simplePos x="0" y="0"/>
            <wp:positionH relativeFrom="margin">
              <wp:posOffset>2898775</wp:posOffset>
            </wp:positionH>
            <wp:positionV relativeFrom="paragraph">
              <wp:posOffset>-689610</wp:posOffset>
            </wp:positionV>
            <wp:extent cx="3562350" cy="938500"/>
            <wp:effectExtent l="0" t="0" r="0" b="0"/>
            <wp:wrapNone/>
            <wp:docPr id="1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7" cstate="print">
                      <a:extLst>
                        <a:ext uri="{28A0092B-C50C-407E-A947-70E740481C1C}">
                          <a14:useLocalDpi xmlns:a14="http://schemas.microsoft.com/office/drawing/2010/main" val="0"/>
                        </a:ext>
                      </a:extLst>
                    </a:blip>
                    <a:srcRect b="9765"/>
                    <a:stretch/>
                  </pic:blipFill>
                  <pic:spPr bwMode="auto">
                    <a:xfrm>
                      <a:off x="0" y="0"/>
                      <a:ext cx="3562350" cy="93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500377" w14:textId="77777777" w:rsidR="000A0E23" w:rsidRDefault="000A0E23" w:rsidP="00245A5D">
      <w:pPr>
        <w:jc w:val="center"/>
        <w:rPr>
          <w:rFonts w:cs="Calibri"/>
          <w:b/>
          <w:sz w:val="24"/>
          <w:szCs w:val="20"/>
          <w:u w:val="single"/>
        </w:rPr>
      </w:pPr>
    </w:p>
    <w:p w14:paraId="7BCEF2D5" w14:textId="1BA20880" w:rsidR="00656F9E" w:rsidRDefault="00245A5D" w:rsidP="00656769">
      <w:pPr>
        <w:jc w:val="center"/>
        <w:rPr>
          <w:rFonts w:cs="Calibri"/>
          <w:sz w:val="20"/>
          <w:szCs w:val="20"/>
        </w:rPr>
      </w:pPr>
      <w:r w:rsidRPr="00245A5D">
        <w:rPr>
          <w:rFonts w:cs="Calibri"/>
          <w:b/>
          <w:sz w:val="24"/>
          <w:szCs w:val="20"/>
          <w:u w:val="single"/>
        </w:rPr>
        <w:t>Fixed Fee Debt Recovery</w:t>
      </w:r>
    </w:p>
    <w:p w14:paraId="328D9AAA" w14:textId="4696EB33" w:rsidR="00656F9E" w:rsidRDefault="001B2B36">
      <w:pPr>
        <w:jc w:val="both"/>
        <w:rPr>
          <w:rFonts w:cs="Calibri"/>
          <w:sz w:val="20"/>
          <w:szCs w:val="20"/>
        </w:rPr>
      </w:pPr>
      <w:r>
        <w:rPr>
          <w:rFonts w:cs="Calibri"/>
          <w:sz w:val="20"/>
          <w:szCs w:val="20"/>
        </w:rPr>
        <w:t xml:space="preserve">We are required by the SRA Transparency Rules require us to </w:t>
      </w:r>
      <w:r w:rsidR="003E2F60">
        <w:rPr>
          <w:rFonts w:cs="Calibri"/>
          <w:sz w:val="20"/>
          <w:szCs w:val="20"/>
        </w:rPr>
        <w:t>publish on our website certain costs information in relation to debt recovery work.</w:t>
      </w:r>
      <w:r w:rsidR="003C7810">
        <w:rPr>
          <w:rFonts w:cs="Calibri"/>
          <w:sz w:val="20"/>
          <w:szCs w:val="20"/>
        </w:rPr>
        <w:t xml:space="preserve">  </w:t>
      </w:r>
    </w:p>
    <w:p w14:paraId="45F8F05F" w14:textId="7DE4BED2" w:rsidR="003E2F60" w:rsidRDefault="003E2F60">
      <w:pPr>
        <w:jc w:val="both"/>
        <w:rPr>
          <w:rFonts w:cs="Calibri"/>
          <w:sz w:val="20"/>
          <w:szCs w:val="20"/>
        </w:rPr>
      </w:pPr>
      <w:r>
        <w:rPr>
          <w:rFonts w:cs="Calibri"/>
          <w:sz w:val="20"/>
          <w:szCs w:val="20"/>
        </w:rPr>
        <w:t>If you wish to instruct Mortimer Clarke Solicitors in relation to debt recovery litigation, the</w:t>
      </w:r>
      <w:r w:rsidR="0051596C">
        <w:rPr>
          <w:rFonts w:cs="Calibri"/>
          <w:sz w:val="20"/>
          <w:szCs w:val="20"/>
        </w:rPr>
        <w:t>n please contact Sandra Bayne (s</w:t>
      </w:r>
      <w:r>
        <w:rPr>
          <w:rFonts w:cs="Calibri"/>
          <w:sz w:val="20"/>
          <w:szCs w:val="20"/>
        </w:rPr>
        <w:t>andra.bayne@mortimerclarke.co.uk)</w:t>
      </w:r>
    </w:p>
    <w:p w14:paraId="5A336489" w14:textId="4D5BAADD" w:rsidR="00BE01DE" w:rsidRDefault="003E2F60" w:rsidP="00BE01DE">
      <w:pPr>
        <w:pStyle w:val="NoSpacing"/>
        <w:jc w:val="both"/>
        <w:rPr>
          <w:sz w:val="20"/>
          <w:szCs w:val="20"/>
        </w:rPr>
      </w:pPr>
      <w:r>
        <w:rPr>
          <w:rFonts w:cs="Calibri"/>
          <w:sz w:val="20"/>
          <w:szCs w:val="20"/>
        </w:rPr>
        <w:t>We have set out below details of court disbursements and solicitors’</w:t>
      </w:r>
      <w:r w:rsidR="003C7810">
        <w:rPr>
          <w:rFonts w:cs="Calibri"/>
          <w:sz w:val="20"/>
          <w:szCs w:val="20"/>
        </w:rPr>
        <w:t xml:space="preserve"> fixed costs during the period up to and including judgment.</w:t>
      </w:r>
      <w:r w:rsidR="00BE01DE" w:rsidRPr="00BE01DE">
        <w:rPr>
          <w:sz w:val="20"/>
          <w:szCs w:val="20"/>
        </w:rPr>
        <w:t xml:space="preserve"> </w:t>
      </w:r>
      <w:r w:rsidR="00BE01DE">
        <w:rPr>
          <w:sz w:val="20"/>
          <w:szCs w:val="20"/>
        </w:rPr>
        <w:t xml:space="preserve"> We may charge additional fe</w:t>
      </w:r>
      <w:bookmarkStart w:id="0" w:name="_GoBack"/>
      <w:bookmarkEnd w:id="0"/>
      <w:r w:rsidR="00BE01DE">
        <w:rPr>
          <w:sz w:val="20"/>
          <w:szCs w:val="20"/>
        </w:rPr>
        <w:t>es or adopt a different fee structure depending on the value and complexity of your instructions, and on the volume of work you wish to instruct us on.  We would discuss this with you once you have provided us with details of any instructions.</w:t>
      </w:r>
    </w:p>
    <w:p w14:paraId="65B1C2A7" w14:textId="77777777" w:rsidR="003E2F60" w:rsidRDefault="003E2F60" w:rsidP="00656769">
      <w:pPr>
        <w:pStyle w:val="NoSpacing"/>
        <w:jc w:val="both"/>
        <w:rPr>
          <w:rFonts w:cs="Calibri"/>
          <w:sz w:val="20"/>
          <w:szCs w:val="20"/>
        </w:rPr>
      </w:pPr>
    </w:p>
    <w:p w14:paraId="2687E6C5" w14:textId="243B2B28" w:rsidR="00836DD9" w:rsidRDefault="008A50FE" w:rsidP="008A50FE">
      <w:pPr>
        <w:pStyle w:val="NoSpacing"/>
        <w:jc w:val="both"/>
        <w:rPr>
          <w:sz w:val="20"/>
          <w:szCs w:val="20"/>
        </w:rPr>
      </w:pPr>
      <w:r w:rsidRPr="008A50FE">
        <w:rPr>
          <w:sz w:val="20"/>
          <w:szCs w:val="20"/>
        </w:rPr>
        <w:t xml:space="preserve">These costs apply where </w:t>
      </w:r>
      <w:r w:rsidR="003C7810">
        <w:rPr>
          <w:sz w:val="20"/>
          <w:szCs w:val="20"/>
        </w:rPr>
        <w:t xml:space="preserve">a </w:t>
      </w:r>
      <w:r w:rsidRPr="008A50FE">
        <w:rPr>
          <w:sz w:val="20"/>
          <w:szCs w:val="20"/>
        </w:rPr>
        <w:t xml:space="preserve">claim is in relation to an </w:t>
      </w:r>
      <w:r w:rsidR="00836DD9">
        <w:rPr>
          <w:sz w:val="20"/>
          <w:szCs w:val="20"/>
        </w:rPr>
        <w:t>unpaid de</w:t>
      </w:r>
      <w:r w:rsidR="00656F9E">
        <w:rPr>
          <w:sz w:val="20"/>
          <w:szCs w:val="20"/>
        </w:rPr>
        <w:t>bt</w:t>
      </w:r>
      <w:r w:rsidRPr="008A50FE">
        <w:rPr>
          <w:sz w:val="20"/>
          <w:szCs w:val="20"/>
        </w:rPr>
        <w:t xml:space="preserve"> which is not disputed and enforcement action is not needed. </w:t>
      </w:r>
      <w:r w:rsidR="00BE01DE">
        <w:rPr>
          <w:sz w:val="20"/>
          <w:szCs w:val="20"/>
        </w:rPr>
        <w:t xml:space="preserve">  </w:t>
      </w:r>
    </w:p>
    <w:p w14:paraId="5ACB4CAE" w14:textId="77777777" w:rsidR="00BE01DE" w:rsidRDefault="00BE01DE" w:rsidP="008A50FE">
      <w:pPr>
        <w:pStyle w:val="NoSpacing"/>
        <w:jc w:val="both"/>
        <w:rPr>
          <w:sz w:val="20"/>
          <w:szCs w:val="20"/>
        </w:rPr>
      </w:pPr>
    </w:p>
    <w:p w14:paraId="4504AFD8" w14:textId="7A095E4C" w:rsidR="00BE01DE" w:rsidRDefault="008A50FE" w:rsidP="008A50FE">
      <w:pPr>
        <w:pStyle w:val="NoSpacing"/>
        <w:jc w:val="both"/>
        <w:rPr>
          <w:sz w:val="20"/>
          <w:szCs w:val="20"/>
        </w:rPr>
      </w:pPr>
      <w:r w:rsidRPr="008A50FE">
        <w:rPr>
          <w:sz w:val="20"/>
          <w:szCs w:val="20"/>
        </w:rPr>
        <w:t>If</w:t>
      </w:r>
      <w:r w:rsidR="00836DD9">
        <w:rPr>
          <w:sz w:val="20"/>
          <w:szCs w:val="20"/>
        </w:rPr>
        <w:t xml:space="preserve"> at any stage</w:t>
      </w:r>
      <w:r w:rsidRPr="008A50FE">
        <w:rPr>
          <w:sz w:val="20"/>
          <w:szCs w:val="20"/>
        </w:rPr>
        <w:t xml:space="preserve"> the other party disputes your claim, we will discuss any further work required and provide you with revised advice about costs if necessary, which could be on a fixed fee </w:t>
      </w:r>
      <w:r w:rsidR="003C7810">
        <w:rPr>
          <w:sz w:val="20"/>
          <w:szCs w:val="20"/>
        </w:rPr>
        <w:t>or based on an hourly rate.</w:t>
      </w:r>
      <w:r w:rsidRPr="008A50FE">
        <w:rPr>
          <w:sz w:val="20"/>
          <w:szCs w:val="20"/>
        </w:rPr>
        <w:t xml:space="preserve"> </w:t>
      </w:r>
    </w:p>
    <w:p w14:paraId="7D734B37" w14:textId="77777777" w:rsidR="00656F9E" w:rsidRDefault="00656F9E" w:rsidP="008A50FE">
      <w:pPr>
        <w:pStyle w:val="NoSpacing"/>
        <w:jc w:val="both"/>
        <w:rPr>
          <w:sz w:val="20"/>
          <w:szCs w:val="20"/>
        </w:rPr>
      </w:pPr>
    </w:p>
    <w:tbl>
      <w:tblPr>
        <w:tblStyle w:val="TableGridLight"/>
        <w:tblW w:w="4192" w:type="dxa"/>
        <w:tblLook w:val="0420" w:firstRow="1" w:lastRow="0" w:firstColumn="0" w:lastColumn="0" w:noHBand="0" w:noVBand="1"/>
      </w:tblPr>
      <w:tblGrid>
        <w:gridCol w:w="2344"/>
        <w:gridCol w:w="1848"/>
      </w:tblGrid>
      <w:tr w:rsidR="00656F9E" w:rsidRPr="00656F9E" w14:paraId="4DECA103" w14:textId="77777777" w:rsidTr="00805B78">
        <w:trPr>
          <w:trHeight w:val="259"/>
        </w:trPr>
        <w:tc>
          <w:tcPr>
            <w:tcW w:w="2344" w:type="dxa"/>
            <w:shd w:val="clear" w:color="auto" w:fill="800000"/>
            <w:hideMark/>
          </w:tcPr>
          <w:p w14:paraId="3F624B1E" w14:textId="77777777" w:rsidR="00656F9E" w:rsidRPr="00656F9E" w:rsidRDefault="00656F9E" w:rsidP="00656F9E">
            <w:pPr>
              <w:pStyle w:val="NoSpacing"/>
              <w:jc w:val="both"/>
              <w:rPr>
                <w:sz w:val="20"/>
                <w:szCs w:val="20"/>
              </w:rPr>
            </w:pPr>
            <w:r w:rsidRPr="00656F9E">
              <w:rPr>
                <w:b/>
                <w:bCs/>
                <w:sz w:val="20"/>
                <w:szCs w:val="20"/>
              </w:rPr>
              <w:t>Claim amount</w:t>
            </w:r>
          </w:p>
        </w:tc>
        <w:tc>
          <w:tcPr>
            <w:tcW w:w="1848" w:type="dxa"/>
            <w:shd w:val="clear" w:color="auto" w:fill="800000"/>
            <w:hideMark/>
          </w:tcPr>
          <w:p w14:paraId="38E896C4" w14:textId="07953940" w:rsidR="00656F9E" w:rsidRPr="00656F9E" w:rsidRDefault="00656F9E" w:rsidP="00656F9E">
            <w:pPr>
              <w:pStyle w:val="NoSpacing"/>
              <w:jc w:val="both"/>
              <w:rPr>
                <w:sz w:val="20"/>
                <w:szCs w:val="20"/>
              </w:rPr>
            </w:pPr>
            <w:r w:rsidRPr="00656F9E">
              <w:rPr>
                <w:b/>
                <w:bCs/>
                <w:sz w:val="20"/>
                <w:szCs w:val="20"/>
              </w:rPr>
              <w:t>CCBC fee</w:t>
            </w:r>
            <w:r w:rsidR="003C7810">
              <w:rPr>
                <w:b/>
                <w:bCs/>
                <w:sz w:val="20"/>
                <w:szCs w:val="20"/>
              </w:rPr>
              <w:t xml:space="preserve"> </w:t>
            </w:r>
          </w:p>
        </w:tc>
      </w:tr>
      <w:tr w:rsidR="00656F9E" w:rsidRPr="00656F9E" w14:paraId="633A4B33" w14:textId="77777777" w:rsidTr="00805B78">
        <w:trPr>
          <w:trHeight w:val="259"/>
        </w:trPr>
        <w:tc>
          <w:tcPr>
            <w:tcW w:w="2344" w:type="dxa"/>
            <w:hideMark/>
          </w:tcPr>
          <w:p w14:paraId="09E9D8B2" w14:textId="1100E826" w:rsidR="00656F9E" w:rsidRPr="00656F9E" w:rsidRDefault="003C7810" w:rsidP="00656F9E">
            <w:pPr>
              <w:pStyle w:val="NoSpacing"/>
              <w:jc w:val="both"/>
              <w:rPr>
                <w:sz w:val="20"/>
                <w:szCs w:val="20"/>
              </w:rPr>
            </w:pPr>
            <w:r>
              <w:rPr>
                <w:b/>
                <w:bCs/>
                <w:sz w:val="20"/>
                <w:szCs w:val="20"/>
              </w:rPr>
              <w:t xml:space="preserve">  </w:t>
            </w:r>
            <w:r w:rsidR="00656F9E" w:rsidRPr="00656F9E">
              <w:rPr>
                <w:b/>
                <w:bCs/>
                <w:sz w:val="20"/>
                <w:szCs w:val="20"/>
              </w:rPr>
              <w:t>Up to £300</w:t>
            </w:r>
          </w:p>
        </w:tc>
        <w:tc>
          <w:tcPr>
            <w:tcW w:w="1848" w:type="dxa"/>
            <w:hideMark/>
          </w:tcPr>
          <w:p w14:paraId="6B2AC7A7" w14:textId="77777777" w:rsidR="00656F9E" w:rsidRPr="00656F9E" w:rsidRDefault="00656F9E" w:rsidP="00656F9E">
            <w:pPr>
              <w:pStyle w:val="NoSpacing"/>
              <w:jc w:val="both"/>
              <w:rPr>
                <w:sz w:val="20"/>
                <w:szCs w:val="20"/>
              </w:rPr>
            </w:pPr>
            <w:r w:rsidRPr="00656F9E">
              <w:rPr>
                <w:b/>
                <w:bCs/>
                <w:sz w:val="20"/>
                <w:szCs w:val="20"/>
              </w:rPr>
              <w:t>£25</w:t>
            </w:r>
          </w:p>
        </w:tc>
      </w:tr>
      <w:tr w:rsidR="00656F9E" w:rsidRPr="00656F9E" w14:paraId="7C18FEB0" w14:textId="77777777" w:rsidTr="00805B78">
        <w:trPr>
          <w:trHeight w:val="259"/>
        </w:trPr>
        <w:tc>
          <w:tcPr>
            <w:tcW w:w="2344" w:type="dxa"/>
            <w:hideMark/>
          </w:tcPr>
          <w:p w14:paraId="4E63D558" w14:textId="77777777" w:rsidR="00656F9E" w:rsidRPr="00656F9E" w:rsidRDefault="00656F9E" w:rsidP="00656F9E">
            <w:pPr>
              <w:pStyle w:val="NoSpacing"/>
              <w:jc w:val="both"/>
              <w:rPr>
                <w:sz w:val="20"/>
                <w:szCs w:val="20"/>
              </w:rPr>
            </w:pPr>
            <w:r w:rsidRPr="00656F9E">
              <w:rPr>
                <w:b/>
                <w:bCs/>
                <w:sz w:val="20"/>
                <w:szCs w:val="20"/>
              </w:rPr>
              <w:t>£300.01 to £500</w:t>
            </w:r>
          </w:p>
        </w:tc>
        <w:tc>
          <w:tcPr>
            <w:tcW w:w="1848" w:type="dxa"/>
            <w:hideMark/>
          </w:tcPr>
          <w:p w14:paraId="66FC676F" w14:textId="77777777" w:rsidR="00656F9E" w:rsidRPr="00656F9E" w:rsidRDefault="00656F9E" w:rsidP="00656F9E">
            <w:pPr>
              <w:pStyle w:val="NoSpacing"/>
              <w:jc w:val="both"/>
              <w:rPr>
                <w:sz w:val="20"/>
                <w:szCs w:val="20"/>
              </w:rPr>
            </w:pPr>
            <w:r w:rsidRPr="00656F9E">
              <w:rPr>
                <w:b/>
                <w:bCs/>
                <w:sz w:val="20"/>
                <w:szCs w:val="20"/>
              </w:rPr>
              <w:t>£35</w:t>
            </w:r>
          </w:p>
        </w:tc>
      </w:tr>
      <w:tr w:rsidR="00656F9E" w:rsidRPr="00656F9E" w14:paraId="427AEF17" w14:textId="77777777" w:rsidTr="00805B78">
        <w:trPr>
          <w:trHeight w:val="259"/>
        </w:trPr>
        <w:tc>
          <w:tcPr>
            <w:tcW w:w="2344" w:type="dxa"/>
            <w:hideMark/>
          </w:tcPr>
          <w:p w14:paraId="65EF9F52" w14:textId="77777777" w:rsidR="00656F9E" w:rsidRPr="00656F9E" w:rsidRDefault="00656F9E" w:rsidP="00656F9E">
            <w:pPr>
              <w:pStyle w:val="NoSpacing"/>
              <w:jc w:val="both"/>
              <w:rPr>
                <w:sz w:val="20"/>
                <w:szCs w:val="20"/>
              </w:rPr>
            </w:pPr>
            <w:r w:rsidRPr="00656F9E">
              <w:rPr>
                <w:b/>
                <w:bCs/>
                <w:sz w:val="20"/>
                <w:szCs w:val="20"/>
              </w:rPr>
              <w:t>£500.01 to £1,000</w:t>
            </w:r>
          </w:p>
        </w:tc>
        <w:tc>
          <w:tcPr>
            <w:tcW w:w="1848" w:type="dxa"/>
            <w:hideMark/>
          </w:tcPr>
          <w:p w14:paraId="34BFF085" w14:textId="77777777" w:rsidR="00656F9E" w:rsidRPr="00656F9E" w:rsidRDefault="00656F9E" w:rsidP="00656F9E">
            <w:pPr>
              <w:pStyle w:val="NoSpacing"/>
              <w:jc w:val="both"/>
              <w:rPr>
                <w:sz w:val="20"/>
                <w:szCs w:val="20"/>
              </w:rPr>
            </w:pPr>
            <w:r w:rsidRPr="00656F9E">
              <w:rPr>
                <w:b/>
                <w:bCs/>
                <w:sz w:val="20"/>
                <w:szCs w:val="20"/>
              </w:rPr>
              <w:t>£60</w:t>
            </w:r>
          </w:p>
        </w:tc>
      </w:tr>
      <w:tr w:rsidR="00656F9E" w:rsidRPr="00656F9E" w14:paraId="0E596BDA" w14:textId="77777777" w:rsidTr="00805B78">
        <w:trPr>
          <w:trHeight w:val="259"/>
        </w:trPr>
        <w:tc>
          <w:tcPr>
            <w:tcW w:w="2344" w:type="dxa"/>
            <w:hideMark/>
          </w:tcPr>
          <w:p w14:paraId="013317DB" w14:textId="77777777" w:rsidR="00656F9E" w:rsidRPr="00656F9E" w:rsidRDefault="00656F9E" w:rsidP="00656F9E">
            <w:pPr>
              <w:pStyle w:val="NoSpacing"/>
              <w:jc w:val="both"/>
              <w:rPr>
                <w:sz w:val="20"/>
                <w:szCs w:val="20"/>
              </w:rPr>
            </w:pPr>
            <w:r w:rsidRPr="00656F9E">
              <w:rPr>
                <w:b/>
                <w:bCs/>
                <w:sz w:val="20"/>
                <w:szCs w:val="20"/>
              </w:rPr>
              <w:t>£1,000.01 to £1,500</w:t>
            </w:r>
          </w:p>
        </w:tc>
        <w:tc>
          <w:tcPr>
            <w:tcW w:w="1848" w:type="dxa"/>
            <w:hideMark/>
          </w:tcPr>
          <w:p w14:paraId="2026DF83" w14:textId="77777777" w:rsidR="00656F9E" w:rsidRPr="00656F9E" w:rsidRDefault="00656F9E" w:rsidP="00656F9E">
            <w:pPr>
              <w:pStyle w:val="NoSpacing"/>
              <w:jc w:val="both"/>
              <w:rPr>
                <w:sz w:val="20"/>
                <w:szCs w:val="20"/>
              </w:rPr>
            </w:pPr>
            <w:r w:rsidRPr="00656F9E">
              <w:rPr>
                <w:b/>
                <w:bCs/>
                <w:sz w:val="20"/>
                <w:szCs w:val="20"/>
              </w:rPr>
              <w:t>£70</w:t>
            </w:r>
          </w:p>
        </w:tc>
      </w:tr>
      <w:tr w:rsidR="00656F9E" w:rsidRPr="00656F9E" w14:paraId="52A76FAE" w14:textId="77777777" w:rsidTr="00805B78">
        <w:trPr>
          <w:trHeight w:val="259"/>
        </w:trPr>
        <w:tc>
          <w:tcPr>
            <w:tcW w:w="2344" w:type="dxa"/>
            <w:hideMark/>
          </w:tcPr>
          <w:p w14:paraId="178B3F36" w14:textId="77777777" w:rsidR="00656F9E" w:rsidRPr="00656F9E" w:rsidRDefault="00656F9E" w:rsidP="00656F9E">
            <w:pPr>
              <w:pStyle w:val="NoSpacing"/>
              <w:jc w:val="both"/>
              <w:rPr>
                <w:sz w:val="20"/>
                <w:szCs w:val="20"/>
              </w:rPr>
            </w:pPr>
            <w:r w:rsidRPr="00656F9E">
              <w:rPr>
                <w:b/>
                <w:bCs/>
                <w:sz w:val="20"/>
                <w:szCs w:val="20"/>
              </w:rPr>
              <w:t>£1,500.01 to £3,000</w:t>
            </w:r>
          </w:p>
        </w:tc>
        <w:tc>
          <w:tcPr>
            <w:tcW w:w="1848" w:type="dxa"/>
            <w:hideMark/>
          </w:tcPr>
          <w:p w14:paraId="5404AE81" w14:textId="77777777" w:rsidR="00656F9E" w:rsidRPr="00656F9E" w:rsidRDefault="00656F9E" w:rsidP="00656F9E">
            <w:pPr>
              <w:pStyle w:val="NoSpacing"/>
              <w:jc w:val="both"/>
              <w:rPr>
                <w:sz w:val="20"/>
                <w:szCs w:val="20"/>
              </w:rPr>
            </w:pPr>
            <w:r w:rsidRPr="00656F9E">
              <w:rPr>
                <w:b/>
                <w:bCs/>
                <w:sz w:val="20"/>
                <w:szCs w:val="20"/>
              </w:rPr>
              <w:t>£105</w:t>
            </w:r>
          </w:p>
        </w:tc>
      </w:tr>
      <w:tr w:rsidR="00656F9E" w:rsidRPr="00656F9E" w14:paraId="168383F4" w14:textId="77777777" w:rsidTr="00805B78">
        <w:trPr>
          <w:trHeight w:val="259"/>
        </w:trPr>
        <w:tc>
          <w:tcPr>
            <w:tcW w:w="2344" w:type="dxa"/>
            <w:hideMark/>
          </w:tcPr>
          <w:p w14:paraId="7C743C13" w14:textId="77777777" w:rsidR="00656F9E" w:rsidRPr="00656F9E" w:rsidRDefault="00656F9E" w:rsidP="00656F9E">
            <w:pPr>
              <w:pStyle w:val="NoSpacing"/>
              <w:jc w:val="both"/>
              <w:rPr>
                <w:sz w:val="20"/>
                <w:szCs w:val="20"/>
              </w:rPr>
            </w:pPr>
            <w:r w:rsidRPr="00656F9E">
              <w:rPr>
                <w:b/>
                <w:bCs/>
                <w:sz w:val="20"/>
                <w:szCs w:val="20"/>
              </w:rPr>
              <w:t>£3,000.01 to £5,000</w:t>
            </w:r>
          </w:p>
        </w:tc>
        <w:tc>
          <w:tcPr>
            <w:tcW w:w="1848" w:type="dxa"/>
            <w:hideMark/>
          </w:tcPr>
          <w:p w14:paraId="1231AB40" w14:textId="77777777" w:rsidR="00656F9E" w:rsidRPr="00656F9E" w:rsidRDefault="00656F9E" w:rsidP="00656F9E">
            <w:pPr>
              <w:pStyle w:val="NoSpacing"/>
              <w:jc w:val="both"/>
              <w:rPr>
                <w:sz w:val="20"/>
                <w:szCs w:val="20"/>
              </w:rPr>
            </w:pPr>
            <w:r w:rsidRPr="00656F9E">
              <w:rPr>
                <w:b/>
                <w:bCs/>
                <w:sz w:val="20"/>
                <w:szCs w:val="20"/>
              </w:rPr>
              <w:t>£185</w:t>
            </w:r>
          </w:p>
        </w:tc>
      </w:tr>
      <w:tr w:rsidR="00656F9E" w:rsidRPr="00656F9E" w14:paraId="4FFB4333" w14:textId="77777777" w:rsidTr="00805B78">
        <w:trPr>
          <w:trHeight w:val="259"/>
        </w:trPr>
        <w:tc>
          <w:tcPr>
            <w:tcW w:w="2344" w:type="dxa"/>
            <w:hideMark/>
          </w:tcPr>
          <w:p w14:paraId="4E69E8FA" w14:textId="77777777" w:rsidR="00656F9E" w:rsidRPr="00656F9E" w:rsidRDefault="00656F9E" w:rsidP="00656F9E">
            <w:pPr>
              <w:pStyle w:val="NoSpacing"/>
              <w:jc w:val="both"/>
              <w:rPr>
                <w:sz w:val="20"/>
                <w:szCs w:val="20"/>
              </w:rPr>
            </w:pPr>
            <w:r w:rsidRPr="00656F9E">
              <w:rPr>
                <w:b/>
                <w:bCs/>
                <w:sz w:val="20"/>
                <w:szCs w:val="20"/>
              </w:rPr>
              <w:t>£5,000.01 to £10,000</w:t>
            </w:r>
          </w:p>
        </w:tc>
        <w:tc>
          <w:tcPr>
            <w:tcW w:w="1848" w:type="dxa"/>
            <w:hideMark/>
          </w:tcPr>
          <w:p w14:paraId="501BA7A5" w14:textId="77777777" w:rsidR="00656F9E" w:rsidRPr="00656F9E" w:rsidRDefault="00656F9E" w:rsidP="00656F9E">
            <w:pPr>
              <w:pStyle w:val="NoSpacing"/>
              <w:jc w:val="both"/>
              <w:rPr>
                <w:sz w:val="20"/>
                <w:szCs w:val="20"/>
              </w:rPr>
            </w:pPr>
            <w:r w:rsidRPr="00656F9E">
              <w:rPr>
                <w:b/>
                <w:bCs/>
                <w:sz w:val="20"/>
                <w:szCs w:val="20"/>
              </w:rPr>
              <w:t>£410</w:t>
            </w:r>
          </w:p>
        </w:tc>
      </w:tr>
      <w:tr w:rsidR="00656F9E" w:rsidRPr="00656F9E" w14:paraId="10903179" w14:textId="77777777" w:rsidTr="00805B78">
        <w:trPr>
          <w:trHeight w:val="259"/>
        </w:trPr>
        <w:tc>
          <w:tcPr>
            <w:tcW w:w="2344" w:type="dxa"/>
            <w:hideMark/>
          </w:tcPr>
          <w:p w14:paraId="754DE8B2" w14:textId="77777777" w:rsidR="00656F9E" w:rsidRPr="00656F9E" w:rsidRDefault="00656F9E" w:rsidP="00656F9E">
            <w:pPr>
              <w:pStyle w:val="NoSpacing"/>
              <w:jc w:val="both"/>
              <w:rPr>
                <w:sz w:val="20"/>
                <w:szCs w:val="20"/>
              </w:rPr>
            </w:pPr>
            <w:r w:rsidRPr="00656F9E">
              <w:rPr>
                <w:b/>
                <w:bCs/>
                <w:sz w:val="20"/>
                <w:szCs w:val="20"/>
              </w:rPr>
              <w:t>£10,000.01 to £100,000</w:t>
            </w:r>
          </w:p>
        </w:tc>
        <w:tc>
          <w:tcPr>
            <w:tcW w:w="1848" w:type="dxa"/>
            <w:hideMark/>
          </w:tcPr>
          <w:p w14:paraId="48E4E774" w14:textId="77777777" w:rsidR="00656F9E" w:rsidRPr="00656F9E" w:rsidRDefault="00656F9E" w:rsidP="00656F9E">
            <w:pPr>
              <w:pStyle w:val="NoSpacing"/>
              <w:jc w:val="both"/>
              <w:rPr>
                <w:sz w:val="20"/>
                <w:szCs w:val="20"/>
              </w:rPr>
            </w:pPr>
            <w:r w:rsidRPr="00656F9E">
              <w:rPr>
                <w:b/>
                <w:bCs/>
                <w:sz w:val="20"/>
                <w:szCs w:val="20"/>
              </w:rPr>
              <w:t>4.5% of the claim</w:t>
            </w:r>
          </w:p>
        </w:tc>
      </w:tr>
    </w:tbl>
    <w:p w14:paraId="4B19668E" w14:textId="77777777" w:rsidR="00656F9E" w:rsidRDefault="00656F9E" w:rsidP="008A50FE">
      <w:pPr>
        <w:pStyle w:val="NoSpacing"/>
        <w:jc w:val="both"/>
        <w:rPr>
          <w:sz w:val="20"/>
          <w:szCs w:val="20"/>
        </w:rPr>
      </w:pPr>
    </w:p>
    <w:tbl>
      <w:tblPr>
        <w:tblStyle w:val="TableGridLight"/>
        <w:tblW w:w="4698" w:type="dxa"/>
        <w:tblLook w:val="0420" w:firstRow="1" w:lastRow="0" w:firstColumn="0" w:lastColumn="0" w:noHBand="0" w:noVBand="1"/>
      </w:tblPr>
      <w:tblGrid>
        <w:gridCol w:w="2229"/>
        <w:gridCol w:w="2469"/>
      </w:tblGrid>
      <w:tr w:rsidR="00656F9E" w:rsidRPr="00656F9E" w14:paraId="5CCDEA00" w14:textId="77777777" w:rsidTr="00830817">
        <w:trPr>
          <w:trHeight w:val="185"/>
        </w:trPr>
        <w:tc>
          <w:tcPr>
            <w:tcW w:w="4698" w:type="dxa"/>
            <w:gridSpan w:val="2"/>
            <w:shd w:val="clear" w:color="auto" w:fill="800000"/>
            <w:hideMark/>
          </w:tcPr>
          <w:p w14:paraId="64459765" w14:textId="77777777" w:rsidR="00656F9E" w:rsidRPr="00656F9E" w:rsidRDefault="00656F9E" w:rsidP="00656F9E">
            <w:pPr>
              <w:pStyle w:val="NoSpacing"/>
              <w:jc w:val="both"/>
              <w:rPr>
                <w:sz w:val="20"/>
                <w:szCs w:val="20"/>
              </w:rPr>
            </w:pPr>
            <w:r w:rsidRPr="00656F9E">
              <w:rPr>
                <w:b/>
                <w:bCs/>
                <w:sz w:val="20"/>
                <w:szCs w:val="20"/>
              </w:rPr>
              <w:t xml:space="preserve">        FIXED SOLICITORS COSTS ON ISSUE OF CLAIM</w:t>
            </w:r>
          </w:p>
        </w:tc>
      </w:tr>
      <w:tr w:rsidR="00656F9E" w:rsidRPr="00656F9E" w14:paraId="3184B64B" w14:textId="77777777" w:rsidTr="00830817">
        <w:trPr>
          <w:trHeight w:val="273"/>
        </w:trPr>
        <w:tc>
          <w:tcPr>
            <w:tcW w:w="2229" w:type="dxa"/>
            <w:shd w:val="clear" w:color="auto" w:fill="800000"/>
            <w:hideMark/>
          </w:tcPr>
          <w:p w14:paraId="6296DE29" w14:textId="77777777" w:rsidR="00656F9E" w:rsidRPr="00656F9E" w:rsidRDefault="00656F9E" w:rsidP="00656F9E">
            <w:pPr>
              <w:pStyle w:val="NoSpacing"/>
              <w:jc w:val="both"/>
              <w:rPr>
                <w:sz w:val="20"/>
                <w:szCs w:val="20"/>
              </w:rPr>
            </w:pPr>
            <w:r w:rsidRPr="00656F9E">
              <w:rPr>
                <w:b/>
                <w:bCs/>
                <w:sz w:val="20"/>
                <w:szCs w:val="20"/>
              </w:rPr>
              <w:t>Claim amount</w:t>
            </w:r>
          </w:p>
        </w:tc>
        <w:tc>
          <w:tcPr>
            <w:tcW w:w="2469" w:type="dxa"/>
            <w:shd w:val="clear" w:color="auto" w:fill="800000"/>
            <w:hideMark/>
          </w:tcPr>
          <w:p w14:paraId="50D5B4C4" w14:textId="77777777" w:rsidR="00656F9E" w:rsidRPr="00656F9E" w:rsidRDefault="00656F9E" w:rsidP="00656F9E">
            <w:pPr>
              <w:pStyle w:val="NoSpacing"/>
              <w:jc w:val="both"/>
              <w:rPr>
                <w:sz w:val="20"/>
                <w:szCs w:val="20"/>
              </w:rPr>
            </w:pPr>
            <w:r w:rsidRPr="00656F9E">
              <w:rPr>
                <w:b/>
                <w:bCs/>
                <w:sz w:val="20"/>
                <w:szCs w:val="20"/>
              </w:rPr>
              <w:t>Fixed solicitors’ costs</w:t>
            </w:r>
          </w:p>
        </w:tc>
      </w:tr>
      <w:tr w:rsidR="00656F9E" w:rsidRPr="00656F9E" w14:paraId="33FB7926" w14:textId="77777777" w:rsidTr="00830817">
        <w:trPr>
          <w:trHeight w:val="273"/>
        </w:trPr>
        <w:tc>
          <w:tcPr>
            <w:tcW w:w="2229" w:type="dxa"/>
            <w:hideMark/>
          </w:tcPr>
          <w:p w14:paraId="4B523516" w14:textId="77777777" w:rsidR="00656F9E" w:rsidRPr="00656F9E" w:rsidRDefault="00656F9E" w:rsidP="00656F9E">
            <w:pPr>
              <w:pStyle w:val="NoSpacing"/>
              <w:jc w:val="both"/>
              <w:rPr>
                <w:sz w:val="20"/>
                <w:szCs w:val="20"/>
              </w:rPr>
            </w:pPr>
            <w:r w:rsidRPr="00656F9E">
              <w:rPr>
                <w:b/>
                <w:bCs/>
                <w:sz w:val="20"/>
                <w:szCs w:val="20"/>
              </w:rPr>
              <w:t>£25 to £500</w:t>
            </w:r>
          </w:p>
        </w:tc>
        <w:tc>
          <w:tcPr>
            <w:tcW w:w="2469" w:type="dxa"/>
            <w:hideMark/>
          </w:tcPr>
          <w:p w14:paraId="2BCB5EAA" w14:textId="77777777" w:rsidR="00656F9E" w:rsidRPr="00656F9E" w:rsidRDefault="00656F9E" w:rsidP="00656F9E">
            <w:pPr>
              <w:pStyle w:val="NoSpacing"/>
              <w:jc w:val="both"/>
              <w:rPr>
                <w:sz w:val="20"/>
                <w:szCs w:val="20"/>
              </w:rPr>
            </w:pPr>
            <w:r w:rsidRPr="00656F9E">
              <w:rPr>
                <w:b/>
                <w:bCs/>
                <w:sz w:val="20"/>
                <w:szCs w:val="20"/>
              </w:rPr>
              <w:t>£50</w:t>
            </w:r>
          </w:p>
        </w:tc>
      </w:tr>
      <w:tr w:rsidR="00656F9E" w:rsidRPr="00656F9E" w14:paraId="22674260" w14:textId="77777777" w:rsidTr="00830817">
        <w:trPr>
          <w:trHeight w:val="273"/>
        </w:trPr>
        <w:tc>
          <w:tcPr>
            <w:tcW w:w="2229" w:type="dxa"/>
            <w:hideMark/>
          </w:tcPr>
          <w:p w14:paraId="51637507" w14:textId="77777777" w:rsidR="00656F9E" w:rsidRPr="00656F9E" w:rsidRDefault="00656F9E" w:rsidP="00656F9E">
            <w:pPr>
              <w:pStyle w:val="NoSpacing"/>
              <w:jc w:val="both"/>
              <w:rPr>
                <w:sz w:val="20"/>
                <w:szCs w:val="20"/>
              </w:rPr>
            </w:pPr>
            <w:r w:rsidRPr="00656F9E">
              <w:rPr>
                <w:b/>
                <w:bCs/>
                <w:sz w:val="20"/>
                <w:szCs w:val="20"/>
              </w:rPr>
              <w:t>£500 to £1,000</w:t>
            </w:r>
          </w:p>
        </w:tc>
        <w:tc>
          <w:tcPr>
            <w:tcW w:w="2469" w:type="dxa"/>
            <w:hideMark/>
          </w:tcPr>
          <w:p w14:paraId="6F8D7FA8" w14:textId="77777777" w:rsidR="00656F9E" w:rsidRPr="00656F9E" w:rsidRDefault="00656F9E" w:rsidP="00656F9E">
            <w:pPr>
              <w:pStyle w:val="NoSpacing"/>
              <w:jc w:val="both"/>
              <w:rPr>
                <w:sz w:val="20"/>
                <w:szCs w:val="20"/>
              </w:rPr>
            </w:pPr>
            <w:r w:rsidRPr="00656F9E">
              <w:rPr>
                <w:b/>
                <w:bCs/>
                <w:sz w:val="20"/>
                <w:szCs w:val="20"/>
              </w:rPr>
              <w:t>£70</w:t>
            </w:r>
          </w:p>
        </w:tc>
      </w:tr>
      <w:tr w:rsidR="00656F9E" w:rsidRPr="00656F9E" w14:paraId="24BB8B32" w14:textId="77777777" w:rsidTr="00830817">
        <w:trPr>
          <w:trHeight w:val="273"/>
        </w:trPr>
        <w:tc>
          <w:tcPr>
            <w:tcW w:w="2229" w:type="dxa"/>
            <w:hideMark/>
          </w:tcPr>
          <w:p w14:paraId="6E6A178B" w14:textId="77777777" w:rsidR="00656F9E" w:rsidRPr="00656F9E" w:rsidRDefault="00656F9E" w:rsidP="00656F9E">
            <w:pPr>
              <w:pStyle w:val="NoSpacing"/>
              <w:jc w:val="both"/>
              <w:rPr>
                <w:sz w:val="20"/>
                <w:szCs w:val="20"/>
              </w:rPr>
            </w:pPr>
            <w:r w:rsidRPr="00656F9E">
              <w:rPr>
                <w:b/>
                <w:bCs/>
                <w:sz w:val="20"/>
                <w:szCs w:val="20"/>
              </w:rPr>
              <w:t>£1,000 to £5,000</w:t>
            </w:r>
          </w:p>
        </w:tc>
        <w:tc>
          <w:tcPr>
            <w:tcW w:w="2469" w:type="dxa"/>
            <w:hideMark/>
          </w:tcPr>
          <w:p w14:paraId="771611F3" w14:textId="77777777" w:rsidR="00656F9E" w:rsidRPr="00656F9E" w:rsidRDefault="00656F9E" w:rsidP="00656F9E">
            <w:pPr>
              <w:pStyle w:val="NoSpacing"/>
              <w:jc w:val="both"/>
              <w:rPr>
                <w:sz w:val="20"/>
                <w:szCs w:val="20"/>
              </w:rPr>
            </w:pPr>
            <w:r w:rsidRPr="00656F9E">
              <w:rPr>
                <w:b/>
                <w:bCs/>
                <w:sz w:val="20"/>
                <w:szCs w:val="20"/>
              </w:rPr>
              <w:t>£80</w:t>
            </w:r>
          </w:p>
        </w:tc>
      </w:tr>
      <w:tr w:rsidR="00656F9E" w:rsidRPr="00656F9E" w14:paraId="0BF351A5" w14:textId="77777777" w:rsidTr="00830817">
        <w:trPr>
          <w:trHeight w:val="273"/>
        </w:trPr>
        <w:tc>
          <w:tcPr>
            <w:tcW w:w="2229" w:type="dxa"/>
            <w:hideMark/>
          </w:tcPr>
          <w:p w14:paraId="49D7B0A4" w14:textId="77777777" w:rsidR="00656F9E" w:rsidRPr="00656F9E" w:rsidRDefault="00656F9E" w:rsidP="00656F9E">
            <w:pPr>
              <w:pStyle w:val="NoSpacing"/>
              <w:jc w:val="both"/>
              <w:rPr>
                <w:sz w:val="20"/>
                <w:szCs w:val="20"/>
              </w:rPr>
            </w:pPr>
            <w:r w:rsidRPr="00656F9E">
              <w:rPr>
                <w:b/>
                <w:bCs/>
                <w:sz w:val="20"/>
                <w:szCs w:val="20"/>
              </w:rPr>
              <w:t>Over £5,000</w:t>
            </w:r>
          </w:p>
        </w:tc>
        <w:tc>
          <w:tcPr>
            <w:tcW w:w="2469" w:type="dxa"/>
            <w:hideMark/>
          </w:tcPr>
          <w:p w14:paraId="72A0553F" w14:textId="77777777" w:rsidR="00656F9E" w:rsidRPr="00656F9E" w:rsidRDefault="00656F9E" w:rsidP="00656F9E">
            <w:pPr>
              <w:pStyle w:val="NoSpacing"/>
              <w:jc w:val="both"/>
              <w:rPr>
                <w:sz w:val="20"/>
                <w:szCs w:val="20"/>
              </w:rPr>
            </w:pPr>
            <w:r w:rsidRPr="00656F9E">
              <w:rPr>
                <w:b/>
                <w:bCs/>
                <w:sz w:val="20"/>
                <w:szCs w:val="20"/>
              </w:rPr>
              <w:t>£100</w:t>
            </w:r>
          </w:p>
        </w:tc>
      </w:tr>
    </w:tbl>
    <w:p w14:paraId="28802CE1" w14:textId="77777777" w:rsidR="00656F9E" w:rsidRDefault="00656F9E" w:rsidP="008A50FE">
      <w:pPr>
        <w:pStyle w:val="NoSpacing"/>
        <w:jc w:val="both"/>
        <w:rPr>
          <w:sz w:val="20"/>
          <w:szCs w:val="20"/>
        </w:rPr>
      </w:pPr>
    </w:p>
    <w:tbl>
      <w:tblPr>
        <w:tblStyle w:val="TableGridLight"/>
        <w:tblW w:w="5193" w:type="dxa"/>
        <w:tblLook w:val="0420" w:firstRow="1" w:lastRow="0" w:firstColumn="0" w:lastColumn="0" w:noHBand="0" w:noVBand="1"/>
      </w:tblPr>
      <w:tblGrid>
        <w:gridCol w:w="2464"/>
        <w:gridCol w:w="2729"/>
      </w:tblGrid>
      <w:tr w:rsidR="00656F9E" w:rsidRPr="00656F9E" w14:paraId="165BF22C" w14:textId="77777777" w:rsidTr="00830817">
        <w:trPr>
          <w:trHeight w:val="170"/>
        </w:trPr>
        <w:tc>
          <w:tcPr>
            <w:tcW w:w="5193" w:type="dxa"/>
            <w:gridSpan w:val="2"/>
            <w:shd w:val="clear" w:color="auto" w:fill="800000"/>
            <w:hideMark/>
          </w:tcPr>
          <w:p w14:paraId="589CE722" w14:textId="77777777" w:rsidR="00656F9E" w:rsidRPr="00656F9E" w:rsidRDefault="00656F9E" w:rsidP="00656F9E">
            <w:pPr>
              <w:pStyle w:val="NoSpacing"/>
              <w:jc w:val="both"/>
              <w:rPr>
                <w:sz w:val="20"/>
                <w:szCs w:val="20"/>
              </w:rPr>
            </w:pPr>
            <w:r w:rsidRPr="00656F9E">
              <w:rPr>
                <w:b/>
                <w:bCs/>
                <w:sz w:val="20"/>
                <w:szCs w:val="20"/>
              </w:rPr>
              <w:t xml:space="preserve">        FIXED SOLICITORS COSTS ON ENTRY OF JUDGMENT</w:t>
            </w:r>
          </w:p>
        </w:tc>
      </w:tr>
      <w:tr w:rsidR="00656F9E" w:rsidRPr="00656F9E" w14:paraId="41A18E55" w14:textId="77777777" w:rsidTr="00830817">
        <w:trPr>
          <w:trHeight w:val="250"/>
        </w:trPr>
        <w:tc>
          <w:tcPr>
            <w:tcW w:w="2464" w:type="dxa"/>
            <w:shd w:val="clear" w:color="auto" w:fill="800000"/>
            <w:hideMark/>
          </w:tcPr>
          <w:p w14:paraId="60664E42" w14:textId="77777777" w:rsidR="00656F9E" w:rsidRPr="00656F9E" w:rsidRDefault="00656F9E" w:rsidP="00656F9E">
            <w:pPr>
              <w:pStyle w:val="NoSpacing"/>
              <w:jc w:val="both"/>
              <w:rPr>
                <w:sz w:val="20"/>
                <w:szCs w:val="20"/>
              </w:rPr>
            </w:pPr>
            <w:r w:rsidRPr="00656F9E">
              <w:rPr>
                <w:b/>
                <w:bCs/>
                <w:sz w:val="20"/>
                <w:szCs w:val="20"/>
              </w:rPr>
              <w:t>Claim amount</w:t>
            </w:r>
          </w:p>
        </w:tc>
        <w:tc>
          <w:tcPr>
            <w:tcW w:w="2729" w:type="dxa"/>
            <w:shd w:val="clear" w:color="auto" w:fill="800000"/>
            <w:hideMark/>
          </w:tcPr>
          <w:p w14:paraId="4FD536BB" w14:textId="77777777" w:rsidR="00656F9E" w:rsidRPr="00656F9E" w:rsidRDefault="00656F9E" w:rsidP="00656F9E">
            <w:pPr>
              <w:pStyle w:val="NoSpacing"/>
              <w:jc w:val="both"/>
              <w:rPr>
                <w:sz w:val="20"/>
                <w:szCs w:val="20"/>
              </w:rPr>
            </w:pPr>
            <w:r w:rsidRPr="00656F9E">
              <w:rPr>
                <w:b/>
                <w:bCs/>
                <w:sz w:val="20"/>
                <w:szCs w:val="20"/>
              </w:rPr>
              <w:t>Fixed solicitors’ costs</w:t>
            </w:r>
          </w:p>
        </w:tc>
      </w:tr>
      <w:tr w:rsidR="00656F9E" w:rsidRPr="00656F9E" w14:paraId="13AA9D6E" w14:textId="77777777" w:rsidTr="00830817">
        <w:trPr>
          <w:trHeight w:val="250"/>
        </w:trPr>
        <w:tc>
          <w:tcPr>
            <w:tcW w:w="2464" w:type="dxa"/>
            <w:hideMark/>
          </w:tcPr>
          <w:p w14:paraId="6DDE2A05" w14:textId="77777777" w:rsidR="00656F9E" w:rsidRPr="00656F9E" w:rsidRDefault="00656F9E" w:rsidP="00656F9E">
            <w:pPr>
              <w:pStyle w:val="NoSpacing"/>
              <w:jc w:val="both"/>
              <w:rPr>
                <w:sz w:val="20"/>
                <w:szCs w:val="20"/>
              </w:rPr>
            </w:pPr>
            <w:r w:rsidRPr="00656F9E">
              <w:rPr>
                <w:b/>
                <w:bCs/>
                <w:sz w:val="20"/>
                <w:szCs w:val="20"/>
              </w:rPr>
              <w:t>£25 to £5000</w:t>
            </w:r>
          </w:p>
        </w:tc>
        <w:tc>
          <w:tcPr>
            <w:tcW w:w="2729" w:type="dxa"/>
            <w:hideMark/>
          </w:tcPr>
          <w:p w14:paraId="7EFEE52B" w14:textId="77777777" w:rsidR="00656F9E" w:rsidRPr="00656F9E" w:rsidRDefault="00656F9E" w:rsidP="00656F9E">
            <w:pPr>
              <w:pStyle w:val="NoSpacing"/>
              <w:jc w:val="both"/>
              <w:rPr>
                <w:sz w:val="20"/>
                <w:szCs w:val="20"/>
              </w:rPr>
            </w:pPr>
            <w:r w:rsidRPr="00656F9E">
              <w:rPr>
                <w:b/>
                <w:bCs/>
                <w:sz w:val="20"/>
                <w:szCs w:val="20"/>
              </w:rPr>
              <w:t>£22</w:t>
            </w:r>
          </w:p>
        </w:tc>
      </w:tr>
      <w:tr w:rsidR="00656F9E" w:rsidRPr="00656F9E" w14:paraId="20701D04" w14:textId="77777777" w:rsidTr="00830817">
        <w:trPr>
          <w:trHeight w:val="250"/>
        </w:trPr>
        <w:tc>
          <w:tcPr>
            <w:tcW w:w="2464" w:type="dxa"/>
            <w:hideMark/>
          </w:tcPr>
          <w:p w14:paraId="136653B7" w14:textId="77777777" w:rsidR="00656F9E" w:rsidRPr="00656F9E" w:rsidRDefault="00656F9E" w:rsidP="00656F9E">
            <w:pPr>
              <w:pStyle w:val="NoSpacing"/>
              <w:jc w:val="both"/>
              <w:rPr>
                <w:sz w:val="20"/>
                <w:szCs w:val="20"/>
              </w:rPr>
            </w:pPr>
            <w:r w:rsidRPr="00656F9E">
              <w:rPr>
                <w:b/>
                <w:bCs/>
                <w:sz w:val="20"/>
                <w:szCs w:val="20"/>
              </w:rPr>
              <w:t>Over £5,000</w:t>
            </w:r>
          </w:p>
        </w:tc>
        <w:tc>
          <w:tcPr>
            <w:tcW w:w="2729" w:type="dxa"/>
            <w:hideMark/>
          </w:tcPr>
          <w:p w14:paraId="57A64349" w14:textId="77777777" w:rsidR="00656F9E" w:rsidRPr="00656F9E" w:rsidRDefault="00656F9E" w:rsidP="00656F9E">
            <w:pPr>
              <w:pStyle w:val="NoSpacing"/>
              <w:jc w:val="both"/>
              <w:rPr>
                <w:sz w:val="20"/>
                <w:szCs w:val="20"/>
              </w:rPr>
            </w:pPr>
            <w:r w:rsidRPr="00656F9E">
              <w:rPr>
                <w:b/>
                <w:bCs/>
                <w:sz w:val="20"/>
                <w:szCs w:val="20"/>
              </w:rPr>
              <w:t>£30</w:t>
            </w:r>
          </w:p>
        </w:tc>
      </w:tr>
    </w:tbl>
    <w:p w14:paraId="7395D9F7" w14:textId="77777777" w:rsidR="00656F9E" w:rsidRDefault="00656F9E" w:rsidP="008A50FE">
      <w:pPr>
        <w:pStyle w:val="NoSpacing"/>
        <w:jc w:val="both"/>
        <w:rPr>
          <w:sz w:val="20"/>
          <w:szCs w:val="20"/>
        </w:rPr>
      </w:pPr>
    </w:p>
    <w:p w14:paraId="56D7BD95" w14:textId="77777777" w:rsidR="00656F9E" w:rsidRPr="008A50FE" w:rsidRDefault="00656F9E" w:rsidP="008A50FE">
      <w:pPr>
        <w:pStyle w:val="NoSpacing"/>
        <w:jc w:val="both"/>
        <w:rPr>
          <w:sz w:val="20"/>
          <w:szCs w:val="20"/>
        </w:rPr>
      </w:pPr>
    </w:p>
    <w:p w14:paraId="40F62F4B" w14:textId="77777777" w:rsidR="008A50FE" w:rsidRDefault="008A50FE" w:rsidP="008A50FE">
      <w:pPr>
        <w:pStyle w:val="NoSpacing"/>
        <w:jc w:val="both"/>
        <w:rPr>
          <w:sz w:val="20"/>
          <w:szCs w:val="20"/>
        </w:rPr>
      </w:pPr>
      <w:r w:rsidRPr="008A50FE">
        <w:rPr>
          <w:sz w:val="20"/>
          <w:szCs w:val="20"/>
        </w:rPr>
        <w:t>Anyone wishing to proceed with a claim should note that:</w:t>
      </w:r>
    </w:p>
    <w:p w14:paraId="31306A8D" w14:textId="77777777" w:rsidR="003C7810" w:rsidRPr="008A50FE" w:rsidRDefault="003C7810" w:rsidP="008A50FE">
      <w:pPr>
        <w:pStyle w:val="NoSpacing"/>
        <w:jc w:val="both"/>
        <w:rPr>
          <w:sz w:val="20"/>
          <w:szCs w:val="20"/>
        </w:rPr>
      </w:pPr>
    </w:p>
    <w:p w14:paraId="3F8137CC" w14:textId="77777777" w:rsidR="008A50FE" w:rsidRPr="008A50FE" w:rsidRDefault="008A50FE" w:rsidP="008A50FE">
      <w:pPr>
        <w:pStyle w:val="NoSpacing"/>
        <w:numPr>
          <w:ilvl w:val="0"/>
          <w:numId w:val="10"/>
        </w:numPr>
        <w:jc w:val="both"/>
        <w:rPr>
          <w:sz w:val="20"/>
          <w:szCs w:val="20"/>
        </w:rPr>
      </w:pPr>
      <w:r w:rsidRPr="008A50FE">
        <w:rPr>
          <w:sz w:val="20"/>
          <w:szCs w:val="20"/>
        </w:rPr>
        <w:t>The VAT element of our fee cannot be reclaimed from your debtor.</w:t>
      </w:r>
    </w:p>
    <w:p w14:paraId="5B4667FF" w14:textId="547375A8" w:rsidR="008A50FE" w:rsidRPr="008A50FE" w:rsidRDefault="008A50FE" w:rsidP="008A50FE">
      <w:pPr>
        <w:pStyle w:val="NoSpacing"/>
        <w:numPr>
          <w:ilvl w:val="0"/>
          <w:numId w:val="10"/>
        </w:numPr>
        <w:jc w:val="both"/>
        <w:rPr>
          <w:sz w:val="20"/>
          <w:szCs w:val="20"/>
        </w:rPr>
      </w:pPr>
      <w:r w:rsidRPr="008A50FE">
        <w:rPr>
          <w:sz w:val="20"/>
          <w:szCs w:val="20"/>
        </w:rPr>
        <w:t xml:space="preserve">Interest may take the debt into a higher banding, with a higher cost. </w:t>
      </w:r>
    </w:p>
    <w:p w14:paraId="37108824" w14:textId="7BE5FA0C" w:rsidR="008A50FE" w:rsidRPr="008A50FE" w:rsidRDefault="008A50FE" w:rsidP="008A50FE">
      <w:pPr>
        <w:pStyle w:val="NoSpacing"/>
        <w:numPr>
          <w:ilvl w:val="0"/>
          <w:numId w:val="10"/>
        </w:numPr>
        <w:jc w:val="both"/>
        <w:rPr>
          <w:sz w:val="20"/>
          <w:szCs w:val="20"/>
        </w:rPr>
      </w:pPr>
      <w:r w:rsidRPr="008A50FE">
        <w:rPr>
          <w:sz w:val="20"/>
          <w:szCs w:val="20"/>
        </w:rPr>
        <w:t>The costs quoted above are not for matters where enforcement action</w:t>
      </w:r>
      <w:r w:rsidR="00656F9E">
        <w:rPr>
          <w:sz w:val="20"/>
          <w:szCs w:val="20"/>
        </w:rPr>
        <w:t xml:space="preserve"> </w:t>
      </w:r>
      <w:r w:rsidRPr="008A50FE">
        <w:rPr>
          <w:sz w:val="20"/>
          <w:szCs w:val="20"/>
        </w:rPr>
        <w:t xml:space="preserve">is </w:t>
      </w:r>
      <w:r w:rsidR="00656F9E">
        <w:rPr>
          <w:sz w:val="20"/>
          <w:szCs w:val="20"/>
        </w:rPr>
        <w:t>taken in order</w:t>
      </w:r>
      <w:r w:rsidRPr="008A50FE">
        <w:rPr>
          <w:sz w:val="20"/>
          <w:szCs w:val="20"/>
        </w:rPr>
        <w:t xml:space="preserve"> to </w:t>
      </w:r>
      <w:r w:rsidR="00656F9E">
        <w:rPr>
          <w:sz w:val="20"/>
          <w:szCs w:val="20"/>
        </w:rPr>
        <w:t>recover</w:t>
      </w:r>
      <w:r w:rsidRPr="008A50FE">
        <w:rPr>
          <w:sz w:val="20"/>
          <w:szCs w:val="20"/>
        </w:rPr>
        <w:t xml:space="preserve"> your debt.</w:t>
      </w:r>
      <w:r w:rsidR="003C7810">
        <w:rPr>
          <w:sz w:val="20"/>
          <w:szCs w:val="20"/>
        </w:rPr>
        <w:t xml:space="preserve">  There are further court fees and solicitors’ fixed costs relating to enforcement action.</w:t>
      </w:r>
    </w:p>
    <w:p w14:paraId="15CE58CD" w14:textId="77777777" w:rsidR="008A50FE" w:rsidRDefault="008A50FE" w:rsidP="008A50FE">
      <w:pPr>
        <w:pStyle w:val="NoSpacing"/>
        <w:jc w:val="both"/>
        <w:rPr>
          <w:sz w:val="20"/>
          <w:szCs w:val="20"/>
        </w:rPr>
      </w:pPr>
    </w:p>
    <w:p w14:paraId="10439324" w14:textId="2F8D1EBD" w:rsidR="008A50FE" w:rsidRPr="008A50FE" w:rsidRDefault="008A50FE" w:rsidP="008A50FE">
      <w:pPr>
        <w:pStyle w:val="NoSpacing"/>
        <w:jc w:val="both"/>
        <w:rPr>
          <w:sz w:val="20"/>
          <w:szCs w:val="20"/>
        </w:rPr>
      </w:pPr>
      <w:r w:rsidRPr="008A50FE">
        <w:rPr>
          <w:sz w:val="20"/>
          <w:szCs w:val="20"/>
        </w:rPr>
        <w:t>Our fee</w:t>
      </w:r>
      <w:r w:rsidR="00656F9E">
        <w:rPr>
          <w:sz w:val="20"/>
          <w:szCs w:val="20"/>
        </w:rPr>
        <w:t>s</w:t>
      </w:r>
      <w:r w:rsidRPr="008A50FE">
        <w:rPr>
          <w:sz w:val="20"/>
          <w:szCs w:val="20"/>
        </w:rPr>
        <w:t xml:space="preserve"> includes:</w:t>
      </w:r>
    </w:p>
    <w:p w14:paraId="0B707930" w14:textId="77777777" w:rsidR="008A50FE" w:rsidRPr="008A50FE" w:rsidRDefault="008A50FE" w:rsidP="008A50FE">
      <w:pPr>
        <w:pStyle w:val="NoSpacing"/>
        <w:numPr>
          <w:ilvl w:val="0"/>
          <w:numId w:val="9"/>
        </w:numPr>
        <w:jc w:val="both"/>
        <w:rPr>
          <w:sz w:val="20"/>
          <w:szCs w:val="20"/>
        </w:rPr>
      </w:pPr>
      <w:r w:rsidRPr="008A50FE">
        <w:rPr>
          <w:sz w:val="20"/>
          <w:szCs w:val="20"/>
        </w:rPr>
        <w:t>Taking your instructions and reviewing documentation</w:t>
      </w:r>
    </w:p>
    <w:p w14:paraId="32E560A9" w14:textId="37877FDA" w:rsidR="008A50FE" w:rsidRPr="008A50FE" w:rsidRDefault="008A50FE" w:rsidP="008A50FE">
      <w:pPr>
        <w:pStyle w:val="NoSpacing"/>
        <w:numPr>
          <w:ilvl w:val="0"/>
          <w:numId w:val="9"/>
        </w:numPr>
        <w:jc w:val="both"/>
        <w:rPr>
          <w:sz w:val="20"/>
          <w:szCs w:val="20"/>
        </w:rPr>
      </w:pPr>
      <w:r w:rsidRPr="008A50FE">
        <w:rPr>
          <w:sz w:val="20"/>
          <w:szCs w:val="20"/>
        </w:rPr>
        <w:lastRenderedPageBreak/>
        <w:t xml:space="preserve">Sending a </w:t>
      </w:r>
      <w:r w:rsidR="002C37D6">
        <w:rPr>
          <w:sz w:val="20"/>
          <w:szCs w:val="20"/>
        </w:rPr>
        <w:t>L</w:t>
      </w:r>
      <w:r w:rsidRPr="008A50FE">
        <w:rPr>
          <w:sz w:val="20"/>
          <w:szCs w:val="20"/>
        </w:rPr>
        <w:t xml:space="preserve">etter before </w:t>
      </w:r>
      <w:r w:rsidR="00656F9E">
        <w:rPr>
          <w:sz w:val="20"/>
          <w:szCs w:val="20"/>
        </w:rPr>
        <w:t>Claim</w:t>
      </w:r>
    </w:p>
    <w:p w14:paraId="24BA0824" w14:textId="07A57FB3" w:rsidR="008A50FE" w:rsidRPr="008A50FE" w:rsidRDefault="008A50FE" w:rsidP="008A50FE">
      <w:pPr>
        <w:pStyle w:val="NoSpacing"/>
        <w:numPr>
          <w:ilvl w:val="0"/>
          <w:numId w:val="9"/>
        </w:numPr>
        <w:jc w:val="both"/>
        <w:rPr>
          <w:sz w:val="20"/>
          <w:szCs w:val="20"/>
        </w:rPr>
      </w:pPr>
      <w:r w:rsidRPr="008A50FE">
        <w:rPr>
          <w:sz w:val="20"/>
          <w:szCs w:val="20"/>
        </w:rPr>
        <w:t xml:space="preserve">Receiving payment and sending onto you, or if the debt is not paid, drafting and issuing </w:t>
      </w:r>
      <w:r w:rsidR="002C37D6">
        <w:rPr>
          <w:sz w:val="20"/>
          <w:szCs w:val="20"/>
        </w:rPr>
        <w:t xml:space="preserve">a County court </w:t>
      </w:r>
      <w:r w:rsidRPr="008A50FE">
        <w:rPr>
          <w:sz w:val="20"/>
          <w:szCs w:val="20"/>
        </w:rPr>
        <w:t>claim</w:t>
      </w:r>
    </w:p>
    <w:p w14:paraId="0FD71144" w14:textId="6440A988" w:rsidR="008A50FE" w:rsidRPr="008A50FE" w:rsidRDefault="008A50FE" w:rsidP="008A50FE">
      <w:pPr>
        <w:pStyle w:val="NoSpacing"/>
        <w:numPr>
          <w:ilvl w:val="0"/>
          <w:numId w:val="9"/>
        </w:numPr>
        <w:jc w:val="both"/>
        <w:rPr>
          <w:sz w:val="20"/>
          <w:szCs w:val="20"/>
        </w:rPr>
      </w:pPr>
      <w:r w:rsidRPr="008A50FE">
        <w:rPr>
          <w:sz w:val="20"/>
          <w:szCs w:val="20"/>
        </w:rPr>
        <w:t>Where no Acknowledgment of Service or Defence is received, applying to the court to enter Judgment in default</w:t>
      </w:r>
    </w:p>
    <w:p w14:paraId="48BE1C6B" w14:textId="71DE66C0" w:rsidR="008A50FE" w:rsidRPr="008A50FE" w:rsidRDefault="008A50FE" w:rsidP="008A50FE">
      <w:pPr>
        <w:pStyle w:val="NoSpacing"/>
        <w:numPr>
          <w:ilvl w:val="0"/>
          <w:numId w:val="9"/>
        </w:numPr>
        <w:jc w:val="both"/>
        <w:rPr>
          <w:sz w:val="20"/>
          <w:szCs w:val="20"/>
        </w:rPr>
      </w:pPr>
      <w:r w:rsidRPr="008A50FE">
        <w:rPr>
          <w:sz w:val="20"/>
          <w:szCs w:val="20"/>
        </w:rPr>
        <w:t>When Judgment in default in received, writ</w:t>
      </w:r>
      <w:r w:rsidR="002C37D6">
        <w:rPr>
          <w:sz w:val="20"/>
          <w:szCs w:val="20"/>
        </w:rPr>
        <w:t>ing</w:t>
      </w:r>
      <w:r w:rsidRPr="008A50FE">
        <w:rPr>
          <w:sz w:val="20"/>
          <w:szCs w:val="20"/>
        </w:rPr>
        <w:t xml:space="preserve"> to the other side to request payment </w:t>
      </w:r>
    </w:p>
    <w:p w14:paraId="40550FFC" w14:textId="7C18CFD4" w:rsidR="008A50FE" w:rsidRPr="008A50FE" w:rsidRDefault="008A50FE" w:rsidP="008A50FE">
      <w:pPr>
        <w:pStyle w:val="NoSpacing"/>
        <w:numPr>
          <w:ilvl w:val="0"/>
          <w:numId w:val="9"/>
        </w:numPr>
        <w:jc w:val="both"/>
        <w:rPr>
          <w:sz w:val="20"/>
          <w:szCs w:val="20"/>
        </w:rPr>
      </w:pPr>
      <w:r w:rsidRPr="008A50FE">
        <w:rPr>
          <w:sz w:val="20"/>
          <w:szCs w:val="20"/>
        </w:rPr>
        <w:t>If payment is not received withi</w:t>
      </w:r>
      <w:r w:rsidR="00656F9E">
        <w:rPr>
          <w:sz w:val="20"/>
          <w:szCs w:val="20"/>
        </w:rPr>
        <w:t>n an agreed period of time</w:t>
      </w:r>
      <w:r w:rsidRPr="008A50FE">
        <w:rPr>
          <w:sz w:val="20"/>
          <w:szCs w:val="20"/>
        </w:rPr>
        <w:t xml:space="preserve">, providing you with advice on next steps and likely costs </w:t>
      </w:r>
    </w:p>
    <w:p w14:paraId="08DA1E34" w14:textId="77777777" w:rsidR="008A50FE" w:rsidRDefault="008A50FE" w:rsidP="008A50FE">
      <w:pPr>
        <w:pStyle w:val="NoSpacing"/>
        <w:jc w:val="both"/>
        <w:rPr>
          <w:sz w:val="20"/>
          <w:szCs w:val="20"/>
        </w:rPr>
      </w:pPr>
    </w:p>
    <w:p w14:paraId="1A530B98" w14:textId="3A34DFBC" w:rsidR="008A50FE" w:rsidRPr="008A50FE" w:rsidRDefault="00BE01DE" w:rsidP="008A50FE">
      <w:pPr>
        <w:pStyle w:val="NoSpacing"/>
        <w:jc w:val="both"/>
        <w:rPr>
          <w:sz w:val="20"/>
          <w:szCs w:val="20"/>
        </w:rPr>
      </w:pPr>
      <w:r>
        <w:rPr>
          <w:sz w:val="20"/>
          <w:szCs w:val="20"/>
        </w:rPr>
        <w:t xml:space="preserve">We will usually issue a claim 33 days after sending a Letter Before Claim.  If the other side does not respond to the court proceedings, judgment in default can be requested </w:t>
      </w:r>
      <w:r w:rsidRPr="00830817">
        <w:rPr>
          <w:sz w:val="20"/>
          <w:szCs w:val="20"/>
        </w:rPr>
        <w:t xml:space="preserve">approximately </w:t>
      </w:r>
      <w:r w:rsidR="00830817">
        <w:rPr>
          <w:sz w:val="20"/>
          <w:szCs w:val="20"/>
        </w:rPr>
        <w:t>15</w:t>
      </w:r>
      <w:r w:rsidRPr="00830817">
        <w:rPr>
          <w:sz w:val="20"/>
          <w:szCs w:val="20"/>
        </w:rPr>
        <w:t xml:space="preserve"> days </w:t>
      </w:r>
      <w:r>
        <w:rPr>
          <w:sz w:val="20"/>
          <w:szCs w:val="20"/>
        </w:rPr>
        <w:t>after the claim has been served.  We will then ask the other side to make payment.</w:t>
      </w:r>
      <w:r w:rsidR="006D705D">
        <w:rPr>
          <w:sz w:val="20"/>
          <w:szCs w:val="20"/>
        </w:rPr>
        <w:t xml:space="preserve"> </w:t>
      </w:r>
      <w:r w:rsidR="008A50FE" w:rsidRPr="008A50FE">
        <w:rPr>
          <w:sz w:val="20"/>
          <w:szCs w:val="20"/>
        </w:rPr>
        <w:t>If enforcement action is needed, the matter will take longer to resolve.</w:t>
      </w:r>
    </w:p>
    <w:p w14:paraId="285B77E7" w14:textId="77777777" w:rsidR="008A50FE" w:rsidRPr="00245A5D" w:rsidRDefault="008A50FE" w:rsidP="008A50FE">
      <w:pPr>
        <w:jc w:val="both"/>
        <w:rPr>
          <w:rFonts w:cs="Calibri"/>
          <w:sz w:val="20"/>
          <w:szCs w:val="20"/>
        </w:rPr>
      </w:pPr>
    </w:p>
    <w:sectPr w:rsidR="008A50FE" w:rsidRPr="00245A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0E9F5" w14:textId="77777777" w:rsidR="00245A5D" w:rsidRDefault="00245A5D" w:rsidP="00245A5D">
      <w:pPr>
        <w:spacing w:after="0" w:line="240" w:lineRule="auto"/>
      </w:pPr>
      <w:r>
        <w:separator/>
      </w:r>
    </w:p>
  </w:endnote>
  <w:endnote w:type="continuationSeparator" w:id="0">
    <w:p w14:paraId="31200FDA" w14:textId="77777777" w:rsidR="00245A5D" w:rsidRDefault="00245A5D" w:rsidP="0024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sans-bold">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FF862" w14:textId="77777777" w:rsidR="00245A5D" w:rsidRDefault="00245A5D" w:rsidP="00245A5D">
      <w:pPr>
        <w:spacing w:after="0" w:line="240" w:lineRule="auto"/>
      </w:pPr>
      <w:r>
        <w:separator/>
      </w:r>
    </w:p>
  </w:footnote>
  <w:footnote w:type="continuationSeparator" w:id="0">
    <w:p w14:paraId="447492AC" w14:textId="77777777" w:rsidR="00245A5D" w:rsidRDefault="00245A5D" w:rsidP="00245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629"/>
    <w:multiLevelType w:val="multilevel"/>
    <w:tmpl w:val="5194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5F4493"/>
    <w:multiLevelType w:val="multilevel"/>
    <w:tmpl w:val="ED1C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5D04B2"/>
    <w:multiLevelType w:val="multilevel"/>
    <w:tmpl w:val="8BAC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E2A80"/>
    <w:multiLevelType w:val="multilevel"/>
    <w:tmpl w:val="50C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C90C88"/>
    <w:multiLevelType w:val="multilevel"/>
    <w:tmpl w:val="D05A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55B93"/>
    <w:multiLevelType w:val="hybridMultilevel"/>
    <w:tmpl w:val="9E26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A01F1"/>
    <w:multiLevelType w:val="multilevel"/>
    <w:tmpl w:val="3B28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0A1520"/>
    <w:multiLevelType w:val="hybridMultilevel"/>
    <w:tmpl w:val="2844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6D6438"/>
    <w:multiLevelType w:val="multilevel"/>
    <w:tmpl w:val="26D6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0B4601"/>
    <w:multiLevelType w:val="hybridMultilevel"/>
    <w:tmpl w:val="8CB0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3"/>
  </w:num>
  <w:num w:numId="5">
    <w:abstractNumId w:val="6"/>
  </w:num>
  <w:num w:numId="6">
    <w:abstractNumId w:val="7"/>
  </w:num>
  <w:num w:numId="7">
    <w:abstractNumId w:val="2"/>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87"/>
    <w:rsid w:val="000267E5"/>
    <w:rsid w:val="00035C19"/>
    <w:rsid w:val="0007598C"/>
    <w:rsid w:val="000A0E23"/>
    <w:rsid w:val="001B2B36"/>
    <w:rsid w:val="0023798D"/>
    <w:rsid w:val="00245A5D"/>
    <w:rsid w:val="00277C8C"/>
    <w:rsid w:val="002C37D6"/>
    <w:rsid w:val="002D075B"/>
    <w:rsid w:val="00357CAD"/>
    <w:rsid w:val="00363940"/>
    <w:rsid w:val="003C7810"/>
    <w:rsid w:val="003E2F60"/>
    <w:rsid w:val="00474E34"/>
    <w:rsid w:val="004D116A"/>
    <w:rsid w:val="004F24D2"/>
    <w:rsid w:val="0051596C"/>
    <w:rsid w:val="00656769"/>
    <w:rsid w:val="00656F9E"/>
    <w:rsid w:val="00675835"/>
    <w:rsid w:val="006D705D"/>
    <w:rsid w:val="007171B8"/>
    <w:rsid w:val="00726587"/>
    <w:rsid w:val="007C2776"/>
    <w:rsid w:val="00805B78"/>
    <w:rsid w:val="00830817"/>
    <w:rsid w:val="00832346"/>
    <w:rsid w:val="00836DD9"/>
    <w:rsid w:val="008A50FE"/>
    <w:rsid w:val="009D2439"/>
    <w:rsid w:val="00A265C5"/>
    <w:rsid w:val="00BE01DE"/>
    <w:rsid w:val="00D83A5B"/>
    <w:rsid w:val="00D86099"/>
    <w:rsid w:val="00E25877"/>
    <w:rsid w:val="00E520E4"/>
    <w:rsid w:val="00FC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B334"/>
  <w15:chartTrackingRefBased/>
  <w15:docId w15:val="{56276C60-273C-48DC-9D22-39981C2D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75835"/>
    <w:pPr>
      <w:spacing w:before="100" w:beforeAutospacing="1" w:after="100" w:afterAutospacing="1" w:line="240" w:lineRule="auto"/>
      <w:outlineLvl w:val="3"/>
    </w:pPr>
    <w:rPr>
      <w:rFonts w:ascii="Georgia" w:eastAsia="Times New Roman" w:hAnsi="Georgia" w:cs="Times New Roman"/>
      <w:color w:val="7D7864"/>
      <w:sz w:val="31"/>
      <w:szCs w:val="31"/>
      <w:lang w:eastAsia="en-GB"/>
    </w:rPr>
  </w:style>
  <w:style w:type="paragraph" w:styleId="Heading6">
    <w:name w:val="heading 6"/>
    <w:basedOn w:val="Normal"/>
    <w:next w:val="Normal"/>
    <w:link w:val="Heading6Char"/>
    <w:uiPriority w:val="9"/>
    <w:semiHidden/>
    <w:unhideWhenUsed/>
    <w:qFormat/>
    <w:rsid w:val="008A50F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5835"/>
    <w:rPr>
      <w:rFonts w:ascii="Georgia" w:eastAsia="Times New Roman" w:hAnsi="Georgia" w:cs="Times New Roman"/>
      <w:color w:val="7D7864"/>
      <w:sz w:val="31"/>
      <w:szCs w:val="31"/>
      <w:lang w:eastAsia="en-GB"/>
    </w:rPr>
  </w:style>
  <w:style w:type="character" w:styleId="Hyperlink">
    <w:name w:val="Hyperlink"/>
    <w:basedOn w:val="DefaultParagraphFont"/>
    <w:uiPriority w:val="99"/>
    <w:unhideWhenUsed/>
    <w:rsid w:val="00675835"/>
    <w:rPr>
      <w:strike w:val="0"/>
      <w:dstrike w:val="0"/>
      <w:color w:val="4E6280"/>
      <w:u w:val="none"/>
      <w:effect w:val="none"/>
    </w:rPr>
  </w:style>
  <w:style w:type="table" w:styleId="TableGrid">
    <w:name w:val="Table Grid"/>
    <w:basedOn w:val="TableNormal"/>
    <w:uiPriority w:val="39"/>
    <w:rsid w:val="00035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035C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5Dark-Accent3">
    <w:name w:val="List Table 5 Dark Accent 3"/>
    <w:basedOn w:val="TableNormal"/>
    <w:uiPriority w:val="50"/>
    <w:rsid w:val="00035C1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3">
    <w:name w:val="Grid Table 5 Dark Accent 3"/>
    <w:basedOn w:val="TableNormal"/>
    <w:uiPriority w:val="50"/>
    <w:rsid w:val="00035C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035C19"/>
    <w:pPr>
      <w:ind w:left="720"/>
      <w:contextualSpacing/>
    </w:pPr>
  </w:style>
  <w:style w:type="paragraph" w:styleId="NoSpacing">
    <w:name w:val="No Spacing"/>
    <w:uiPriority w:val="1"/>
    <w:qFormat/>
    <w:rsid w:val="00035C19"/>
    <w:pPr>
      <w:spacing w:after="0" w:line="240" w:lineRule="auto"/>
    </w:pPr>
  </w:style>
  <w:style w:type="paragraph" w:styleId="Header">
    <w:name w:val="header"/>
    <w:basedOn w:val="Normal"/>
    <w:link w:val="HeaderChar"/>
    <w:uiPriority w:val="99"/>
    <w:unhideWhenUsed/>
    <w:rsid w:val="00245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A5D"/>
  </w:style>
  <w:style w:type="paragraph" w:styleId="Footer">
    <w:name w:val="footer"/>
    <w:basedOn w:val="Normal"/>
    <w:link w:val="FooterChar"/>
    <w:uiPriority w:val="99"/>
    <w:unhideWhenUsed/>
    <w:rsid w:val="00245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A5D"/>
  </w:style>
  <w:style w:type="character" w:styleId="CommentReference">
    <w:name w:val="annotation reference"/>
    <w:basedOn w:val="DefaultParagraphFont"/>
    <w:uiPriority w:val="99"/>
    <w:semiHidden/>
    <w:unhideWhenUsed/>
    <w:rsid w:val="004D116A"/>
    <w:rPr>
      <w:sz w:val="16"/>
      <w:szCs w:val="16"/>
    </w:rPr>
  </w:style>
  <w:style w:type="paragraph" w:styleId="CommentText">
    <w:name w:val="annotation text"/>
    <w:basedOn w:val="Normal"/>
    <w:link w:val="CommentTextChar"/>
    <w:uiPriority w:val="99"/>
    <w:semiHidden/>
    <w:unhideWhenUsed/>
    <w:rsid w:val="004D116A"/>
    <w:pPr>
      <w:spacing w:line="240" w:lineRule="auto"/>
    </w:pPr>
    <w:rPr>
      <w:sz w:val="20"/>
      <w:szCs w:val="20"/>
    </w:rPr>
  </w:style>
  <w:style w:type="character" w:customStyle="1" w:styleId="CommentTextChar">
    <w:name w:val="Comment Text Char"/>
    <w:basedOn w:val="DefaultParagraphFont"/>
    <w:link w:val="CommentText"/>
    <w:uiPriority w:val="99"/>
    <w:semiHidden/>
    <w:rsid w:val="004D116A"/>
    <w:rPr>
      <w:sz w:val="20"/>
      <w:szCs w:val="20"/>
    </w:rPr>
  </w:style>
  <w:style w:type="paragraph" w:styleId="CommentSubject">
    <w:name w:val="annotation subject"/>
    <w:basedOn w:val="CommentText"/>
    <w:next w:val="CommentText"/>
    <w:link w:val="CommentSubjectChar"/>
    <w:uiPriority w:val="99"/>
    <w:semiHidden/>
    <w:unhideWhenUsed/>
    <w:rsid w:val="004D116A"/>
    <w:rPr>
      <w:b/>
      <w:bCs/>
    </w:rPr>
  </w:style>
  <w:style w:type="character" w:customStyle="1" w:styleId="CommentSubjectChar">
    <w:name w:val="Comment Subject Char"/>
    <w:basedOn w:val="CommentTextChar"/>
    <w:link w:val="CommentSubject"/>
    <w:uiPriority w:val="99"/>
    <w:semiHidden/>
    <w:rsid w:val="004D116A"/>
    <w:rPr>
      <w:b/>
      <w:bCs/>
      <w:sz w:val="20"/>
      <w:szCs w:val="20"/>
    </w:rPr>
  </w:style>
  <w:style w:type="paragraph" w:styleId="BalloonText">
    <w:name w:val="Balloon Text"/>
    <w:basedOn w:val="Normal"/>
    <w:link w:val="BalloonTextChar"/>
    <w:uiPriority w:val="99"/>
    <w:semiHidden/>
    <w:unhideWhenUsed/>
    <w:rsid w:val="004D1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16A"/>
    <w:rPr>
      <w:rFonts w:ascii="Segoe UI" w:hAnsi="Segoe UI" w:cs="Segoe UI"/>
      <w:sz w:val="18"/>
      <w:szCs w:val="18"/>
    </w:rPr>
  </w:style>
  <w:style w:type="character" w:styleId="Strong">
    <w:name w:val="Strong"/>
    <w:basedOn w:val="DefaultParagraphFont"/>
    <w:uiPriority w:val="22"/>
    <w:qFormat/>
    <w:rsid w:val="008A50FE"/>
    <w:rPr>
      <w:rFonts w:ascii="open-sans-bold" w:hAnsi="open-sans-bold" w:hint="default"/>
      <w:b w:val="0"/>
      <w:bCs w:val="0"/>
    </w:rPr>
  </w:style>
  <w:style w:type="paragraph" w:styleId="NormalWeb">
    <w:name w:val="Normal (Web)"/>
    <w:basedOn w:val="Normal"/>
    <w:uiPriority w:val="99"/>
    <w:semiHidden/>
    <w:unhideWhenUsed/>
    <w:rsid w:val="008A50FE"/>
    <w:pPr>
      <w:spacing w:after="150" w:line="375" w:lineRule="atLeast"/>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8A50FE"/>
    <w:rPr>
      <w:rFonts w:asciiTheme="majorHAnsi" w:eastAsiaTheme="majorEastAsia" w:hAnsiTheme="majorHAnsi" w:cstheme="majorBidi"/>
      <w:color w:val="1F4D78" w:themeColor="accent1" w:themeShade="7F"/>
    </w:rPr>
  </w:style>
  <w:style w:type="table" w:styleId="ListTable4-Accent6">
    <w:name w:val="List Table 4 Accent 6"/>
    <w:basedOn w:val="TableNormal"/>
    <w:uiPriority w:val="49"/>
    <w:rsid w:val="008A50F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8A50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830817"/>
    <w:pPr>
      <w:spacing w:after="0" w:line="240" w:lineRule="auto"/>
      <w:jc w:val="center"/>
    </w:pPr>
    <w:tblPr/>
    <w:tcPr>
      <w:shd w:val="clear" w:color="auto" w:fill="A5002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458">
      <w:bodyDiv w:val="1"/>
      <w:marLeft w:val="0"/>
      <w:marRight w:val="0"/>
      <w:marTop w:val="0"/>
      <w:marBottom w:val="0"/>
      <w:divBdr>
        <w:top w:val="none" w:sz="0" w:space="0" w:color="auto"/>
        <w:left w:val="none" w:sz="0" w:space="0" w:color="auto"/>
        <w:bottom w:val="none" w:sz="0" w:space="0" w:color="auto"/>
        <w:right w:val="none" w:sz="0" w:space="0" w:color="auto"/>
      </w:divBdr>
    </w:div>
    <w:div w:id="38826681">
      <w:bodyDiv w:val="1"/>
      <w:marLeft w:val="0"/>
      <w:marRight w:val="0"/>
      <w:marTop w:val="0"/>
      <w:marBottom w:val="0"/>
      <w:divBdr>
        <w:top w:val="none" w:sz="0" w:space="0" w:color="auto"/>
        <w:left w:val="none" w:sz="0" w:space="0" w:color="auto"/>
        <w:bottom w:val="none" w:sz="0" w:space="0" w:color="auto"/>
        <w:right w:val="none" w:sz="0" w:space="0" w:color="auto"/>
      </w:divBdr>
      <w:divsChild>
        <w:div w:id="893858769">
          <w:marLeft w:val="0"/>
          <w:marRight w:val="0"/>
          <w:marTop w:val="0"/>
          <w:marBottom w:val="0"/>
          <w:divBdr>
            <w:top w:val="none" w:sz="0" w:space="0" w:color="auto"/>
            <w:left w:val="none" w:sz="0" w:space="0" w:color="auto"/>
            <w:bottom w:val="none" w:sz="0" w:space="0" w:color="auto"/>
            <w:right w:val="none" w:sz="0" w:space="0" w:color="auto"/>
          </w:divBdr>
          <w:divsChild>
            <w:div w:id="396823030">
              <w:marLeft w:val="0"/>
              <w:marRight w:val="0"/>
              <w:marTop w:val="0"/>
              <w:marBottom w:val="0"/>
              <w:divBdr>
                <w:top w:val="none" w:sz="0" w:space="0" w:color="auto"/>
                <w:left w:val="none" w:sz="0" w:space="0" w:color="auto"/>
                <w:bottom w:val="none" w:sz="0" w:space="0" w:color="auto"/>
                <w:right w:val="none" w:sz="0" w:space="0" w:color="auto"/>
              </w:divBdr>
              <w:divsChild>
                <w:div w:id="1970892862">
                  <w:marLeft w:val="-225"/>
                  <w:marRight w:val="-225"/>
                  <w:marTop w:val="0"/>
                  <w:marBottom w:val="0"/>
                  <w:divBdr>
                    <w:top w:val="none" w:sz="0" w:space="0" w:color="auto"/>
                    <w:left w:val="none" w:sz="0" w:space="0" w:color="auto"/>
                    <w:bottom w:val="none" w:sz="0" w:space="0" w:color="auto"/>
                    <w:right w:val="none" w:sz="0" w:space="0" w:color="auto"/>
                  </w:divBdr>
                  <w:divsChild>
                    <w:div w:id="1386486660">
                      <w:blockQuote w:val="1"/>
                      <w:marLeft w:val="0"/>
                      <w:marRight w:val="0"/>
                      <w:marTop w:val="0"/>
                      <w:marBottom w:val="300"/>
                      <w:divBdr>
                        <w:top w:val="none" w:sz="0" w:space="0" w:color="auto"/>
                        <w:left w:val="single" w:sz="36" w:space="11" w:color="B10035"/>
                        <w:bottom w:val="none" w:sz="0" w:space="0" w:color="auto"/>
                        <w:right w:val="none" w:sz="0" w:space="0" w:color="auto"/>
                      </w:divBdr>
                    </w:div>
                    <w:div w:id="905185124">
                      <w:blockQuote w:val="1"/>
                      <w:marLeft w:val="0"/>
                      <w:marRight w:val="0"/>
                      <w:marTop w:val="0"/>
                      <w:marBottom w:val="300"/>
                      <w:divBdr>
                        <w:top w:val="none" w:sz="0" w:space="0" w:color="auto"/>
                        <w:left w:val="single" w:sz="36" w:space="11" w:color="B10035"/>
                        <w:bottom w:val="none" w:sz="0" w:space="0" w:color="auto"/>
                        <w:right w:val="none" w:sz="0" w:space="0" w:color="auto"/>
                      </w:divBdr>
                    </w:div>
                    <w:div w:id="371079423">
                      <w:blockQuote w:val="1"/>
                      <w:marLeft w:val="0"/>
                      <w:marRight w:val="0"/>
                      <w:marTop w:val="0"/>
                      <w:marBottom w:val="300"/>
                      <w:divBdr>
                        <w:top w:val="none" w:sz="0" w:space="0" w:color="auto"/>
                        <w:left w:val="single" w:sz="36" w:space="11" w:color="B10035"/>
                        <w:bottom w:val="none" w:sz="0" w:space="0" w:color="auto"/>
                        <w:right w:val="none" w:sz="0" w:space="0" w:color="auto"/>
                      </w:divBdr>
                    </w:div>
                    <w:div w:id="715668210">
                      <w:blockQuote w:val="1"/>
                      <w:marLeft w:val="0"/>
                      <w:marRight w:val="0"/>
                      <w:marTop w:val="0"/>
                      <w:marBottom w:val="300"/>
                      <w:divBdr>
                        <w:top w:val="none" w:sz="0" w:space="0" w:color="auto"/>
                        <w:left w:val="single" w:sz="36" w:space="11" w:color="B10035"/>
                        <w:bottom w:val="none" w:sz="0" w:space="0" w:color="auto"/>
                        <w:right w:val="none" w:sz="0" w:space="0" w:color="auto"/>
                      </w:divBdr>
                    </w:div>
                  </w:divsChild>
                </w:div>
              </w:divsChild>
            </w:div>
          </w:divsChild>
        </w:div>
      </w:divsChild>
    </w:div>
    <w:div w:id="368802322">
      <w:bodyDiv w:val="1"/>
      <w:marLeft w:val="0"/>
      <w:marRight w:val="0"/>
      <w:marTop w:val="0"/>
      <w:marBottom w:val="0"/>
      <w:divBdr>
        <w:top w:val="none" w:sz="0" w:space="0" w:color="auto"/>
        <w:left w:val="none" w:sz="0" w:space="0" w:color="auto"/>
        <w:bottom w:val="none" w:sz="0" w:space="0" w:color="auto"/>
        <w:right w:val="none" w:sz="0" w:space="0" w:color="auto"/>
      </w:divBdr>
    </w:div>
    <w:div w:id="668599208">
      <w:bodyDiv w:val="1"/>
      <w:marLeft w:val="0"/>
      <w:marRight w:val="0"/>
      <w:marTop w:val="0"/>
      <w:marBottom w:val="0"/>
      <w:divBdr>
        <w:top w:val="none" w:sz="0" w:space="0" w:color="auto"/>
        <w:left w:val="none" w:sz="0" w:space="0" w:color="auto"/>
        <w:bottom w:val="none" w:sz="0" w:space="0" w:color="auto"/>
        <w:right w:val="none" w:sz="0" w:space="0" w:color="auto"/>
      </w:divBdr>
      <w:divsChild>
        <w:div w:id="1298074746">
          <w:marLeft w:val="0"/>
          <w:marRight w:val="0"/>
          <w:marTop w:val="0"/>
          <w:marBottom w:val="0"/>
          <w:divBdr>
            <w:top w:val="none" w:sz="0" w:space="0" w:color="auto"/>
            <w:left w:val="none" w:sz="0" w:space="0" w:color="auto"/>
            <w:bottom w:val="none" w:sz="0" w:space="0" w:color="auto"/>
            <w:right w:val="none" w:sz="0" w:space="0" w:color="auto"/>
          </w:divBdr>
          <w:divsChild>
            <w:div w:id="1434472549">
              <w:marLeft w:val="0"/>
              <w:marRight w:val="0"/>
              <w:marTop w:val="0"/>
              <w:marBottom w:val="0"/>
              <w:divBdr>
                <w:top w:val="none" w:sz="0" w:space="0" w:color="auto"/>
                <w:left w:val="none" w:sz="0" w:space="0" w:color="auto"/>
                <w:bottom w:val="none" w:sz="0" w:space="0" w:color="auto"/>
                <w:right w:val="none" w:sz="0" w:space="0" w:color="auto"/>
              </w:divBdr>
              <w:divsChild>
                <w:div w:id="1904943692">
                  <w:marLeft w:val="0"/>
                  <w:marRight w:val="0"/>
                  <w:marTop w:val="0"/>
                  <w:marBottom w:val="1200"/>
                  <w:divBdr>
                    <w:top w:val="none" w:sz="0" w:space="0" w:color="auto"/>
                    <w:left w:val="none" w:sz="0" w:space="0" w:color="auto"/>
                    <w:bottom w:val="none" w:sz="0" w:space="0" w:color="auto"/>
                    <w:right w:val="none" w:sz="0" w:space="0" w:color="auto"/>
                  </w:divBdr>
                  <w:divsChild>
                    <w:div w:id="1642733590">
                      <w:marLeft w:val="0"/>
                      <w:marRight w:val="0"/>
                      <w:marTop w:val="0"/>
                      <w:marBottom w:val="0"/>
                      <w:divBdr>
                        <w:top w:val="none" w:sz="0" w:space="0" w:color="auto"/>
                        <w:left w:val="none" w:sz="0" w:space="0" w:color="auto"/>
                        <w:bottom w:val="none" w:sz="0" w:space="0" w:color="auto"/>
                        <w:right w:val="none" w:sz="0" w:space="0" w:color="auto"/>
                      </w:divBdr>
                      <w:divsChild>
                        <w:div w:id="17170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181441">
      <w:bodyDiv w:val="1"/>
      <w:marLeft w:val="0"/>
      <w:marRight w:val="0"/>
      <w:marTop w:val="0"/>
      <w:marBottom w:val="0"/>
      <w:divBdr>
        <w:top w:val="none" w:sz="0" w:space="0" w:color="auto"/>
        <w:left w:val="none" w:sz="0" w:space="0" w:color="auto"/>
        <w:bottom w:val="none" w:sz="0" w:space="0" w:color="auto"/>
        <w:right w:val="none" w:sz="0" w:space="0" w:color="auto"/>
      </w:divBdr>
      <w:divsChild>
        <w:div w:id="48263140">
          <w:marLeft w:val="0"/>
          <w:marRight w:val="0"/>
          <w:marTop w:val="0"/>
          <w:marBottom w:val="0"/>
          <w:divBdr>
            <w:top w:val="none" w:sz="0" w:space="0" w:color="auto"/>
            <w:left w:val="none" w:sz="0" w:space="0" w:color="auto"/>
            <w:bottom w:val="none" w:sz="0" w:space="0" w:color="auto"/>
            <w:right w:val="none" w:sz="0" w:space="0" w:color="auto"/>
          </w:divBdr>
          <w:divsChild>
            <w:div w:id="496502207">
              <w:marLeft w:val="0"/>
              <w:marRight w:val="0"/>
              <w:marTop w:val="0"/>
              <w:marBottom w:val="0"/>
              <w:divBdr>
                <w:top w:val="none" w:sz="0" w:space="0" w:color="auto"/>
                <w:left w:val="none" w:sz="0" w:space="0" w:color="auto"/>
                <w:bottom w:val="none" w:sz="0" w:space="0" w:color="auto"/>
                <w:right w:val="none" w:sz="0" w:space="0" w:color="auto"/>
              </w:divBdr>
              <w:divsChild>
                <w:div w:id="315424929">
                  <w:marLeft w:val="-225"/>
                  <w:marRight w:val="-225"/>
                  <w:marTop w:val="0"/>
                  <w:marBottom w:val="0"/>
                  <w:divBdr>
                    <w:top w:val="none" w:sz="0" w:space="0" w:color="auto"/>
                    <w:left w:val="none" w:sz="0" w:space="0" w:color="auto"/>
                    <w:bottom w:val="none" w:sz="0" w:space="0" w:color="auto"/>
                    <w:right w:val="none" w:sz="0" w:space="0" w:color="auto"/>
                  </w:divBdr>
                  <w:divsChild>
                    <w:div w:id="844054606">
                      <w:marLeft w:val="0"/>
                      <w:marRight w:val="0"/>
                      <w:marTop w:val="0"/>
                      <w:marBottom w:val="300"/>
                      <w:divBdr>
                        <w:top w:val="none" w:sz="0" w:space="0" w:color="auto"/>
                        <w:left w:val="none" w:sz="0" w:space="0" w:color="auto"/>
                        <w:bottom w:val="none" w:sz="0" w:space="0" w:color="auto"/>
                        <w:right w:val="none" w:sz="0" w:space="0" w:color="auto"/>
                      </w:divBdr>
                      <w:divsChild>
                        <w:div w:id="158623816">
                          <w:marLeft w:val="0"/>
                          <w:marRight w:val="0"/>
                          <w:marTop w:val="0"/>
                          <w:marBottom w:val="300"/>
                          <w:divBdr>
                            <w:top w:val="none" w:sz="0" w:space="0" w:color="auto"/>
                            <w:left w:val="none" w:sz="0" w:space="0" w:color="auto"/>
                            <w:bottom w:val="none" w:sz="0" w:space="0" w:color="auto"/>
                            <w:right w:val="none" w:sz="0" w:space="0" w:color="auto"/>
                          </w:divBdr>
                          <w:divsChild>
                            <w:div w:id="1085492713">
                              <w:marLeft w:val="0"/>
                              <w:marRight w:val="0"/>
                              <w:marTop w:val="0"/>
                              <w:marBottom w:val="0"/>
                              <w:divBdr>
                                <w:top w:val="none" w:sz="0" w:space="0" w:color="auto"/>
                                <w:left w:val="none" w:sz="0" w:space="0" w:color="auto"/>
                                <w:bottom w:val="none" w:sz="0" w:space="0" w:color="auto"/>
                                <w:right w:val="none" w:sz="0" w:space="0" w:color="auto"/>
                              </w:divBdr>
                              <w:divsChild>
                                <w:div w:id="17257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787620">
      <w:bodyDiv w:val="1"/>
      <w:marLeft w:val="0"/>
      <w:marRight w:val="0"/>
      <w:marTop w:val="0"/>
      <w:marBottom w:val="0"/>
      <w:divBdr>
        <w:top w:val="none" w:sz="0" w:space="0" w:color="auto"/>
        <w:left w:val="none" w:sz="0" w:space="0" w:color="auto"/>
        <w:bottom w:val="none" w:sz="0" w:space="0" w:color="auto"/>
        <w:right w:val="none" w:sz="0" w:space="0" w:color="auto"/>
      </w:divBdr>
      <w:divsChild>
        <w:div w:id="625475736">
          <w:marLeft w:val="0"/>
          <w:marRight w:val="0"/>
          <w:marTop w:val="0"/>
          <w:marBottom w:val="0"/>
          <w:divBdr>
            <w:top w:val="none" w:sz="0" w:space="0" w:color="auto"/>
            <w:left w:val="none" w:sz="0" w:space="0" w:color="auto"/>
            <w:bottom w:val="none" w:sz="0" w:space="0" w:color="auto"/>
            <w:right w:val="none" w:sz="0" w:space="0" w:color="auto"/>
          </w:divBdr>
          <w:divsChild>
            <w:div w:id="1601177835">
              <w:marLeft w:val="0"/>
              <w:marRight w:val="0"/>
              <w:marTop w:val="0"/>
              <w:marBottom w:val="0"/>
              <w:divBdr>
                <w:top w:val="none" w:sz="0" w:space="0" w:color="auto"/>
                <w:left w:val="none" w:sz="0" w:space="0" w:color="auto"/>
                <w:bottom w:val="none" w:sz="0" w:space="0" w:color="auto"/>
                <w:right w:val="none" w:sz="0" w:space="0" w:color="auto"/>
              </w:divBdr>
              <w:divsChild>
                <w:div w:id="1225947370">
                  <w:marLeft w:val="0"/>
                  <w:marRight w:val="0"/>
                  <w:marTop w:val="0"/>
                  <w:marBottom w:val="1200"/>
                  <w:divBdr>
                    <w:top w:val="none" w:sz="0" w:space="0" w:color="auto"/>
                    <w:left w:val="none" w:sz="0" w:space="0" w:color="auto"/>
                    <w:bottom w:val="none" w:sz="0" w:space="0" w:color="auto"/>
                    <w:right w:val="none" w:sz="0" w:space="0" w:color="auto"/>
                  </w:divBdr>
                  <w:divsChild>
                    <w:div w:id="1439176754">
                      <w:marLeft w:val="0"/>
                      <w:marRight w:val="0"/>
                      <w:marTop w:val="0"/>
                      <w:marBottom w:val="0"/>
                      <w:divBdr>
                        <w:top w:val="none" w:sz="0" w:space="0" w:color="auto"/>
                        <w:left w:val="none" w:sz="0" w:space="0" w:color="auto"/>
                        <w:bottom w:val="none" w:sz="0" w:space="0" w:color="auto"/>
                        <w:right w:val="none" w:sz="0" w:space="0" w:color="auto"/>
                      </w:divBdr>
                      <w:divsChild>
                        <w:div w:id="1160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Hayler</dc:creator>
  <cp:keywords/>
  <dc:description/>
  <cp:lastModifiedBy>Rebecca Hayler</cp:lastModifiedBy>
  <cp:revision>8</cp:revision>
  <dcterms:created xsi:type="dcterms:W3CDTF">2018-11-06T09:49:00Z</dcterms:created>
  <dcterms:modified xsi:type="dcterms:W3CDTF">2018-11-08T16:09:00Z</dcterms:modified>
</cp:coreProperties>
</file>